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A1" w:rsidRDefault="000151A1" w:rsidP="000151A1">
      <w:r>
        <w:rPr>
          <w:rFonts w:ascii="Arial Narrow" w:eastAsia="Arial Narrow" w:hAnsi="Arial Narrow" w:cs="Arial Narrow"/>
          <w:b/>
          <w:sz w:val="24"/>
        </w:rPr>
        <w:t>Indicador: Porcentaje de estudiantes de 15 años con bajo desempeño en las competencias evaluadas por PISA (Competencia lectora)</w:t>
      </w:r>
    </w:p>
    <w:p w:rsidR="000151A1" w:rsidRDefault="000151A1" w:rsidP="000151A1">
      <w:r>
        <w:rPr>
          <w:rFonts w:ascii="Arial Narrow" w:eastAsia="Arial Narrow" w:hAnsi="Arial Narrow" w:cs="Arial Narrow"/>
          <w:b/>
          <w:sz w:val="24"/>
        </w:rPr>
        <w:t>Clave:</w:t>
      </w:r>
      <w:bookmarkStart w:id="0" w:name="_GoBack"/>
      <w:r>
        <w:rPr>
          <w:rFonts w:ascii="Arial Narrow" w:eastAsia="Arial Narrow" w:hAnsi="Arial Narrow" w:cs="Arial Narrow"/>
          <w:b/>
          <w:sz w:val="24"/>
        </w:rPr>
        <w:t xml:space="preserve"> EaP01a</w:t>
      </w:r>
      <w:bookmarkEnd w:id="0"/>
    </w:p>
    <w:tbl>
      <w:tblPr>
        <w:tblW w:w="0" w:type="auto"/>
        <w:tblInd w:w="10" w:type="dxa"/>
        <w:tblBorders>
          <w:insideH w:val="thick" w:sz="3" w:space="3" w:color="FFFFFF"/>
          <w:insideV w:val="thick" w:sz="1" w:space="1" w:color="FFFFFF"/>
        </w:tblBorders>
        <w:tblCellMar>
          <w:left w:w="10" w:type="dxa"/>
          <w:right w:w="10" w:type="dxa"/>
        </w:tblCellMar>
        <w:tblLook w:val="04A0" w:firstRow="1" w:lastRow="0" w:firstColumn="1" w:lastColumn="0" w:noHBand="0" w:noVBand="1"/>
      </w:tblPr>
      <w:tblGrid>
        <w:gridCol w:w="1410"/>
        <w:gridCol w:w="7418"/>
      </w:tblGrid>
      <w:tr w:rsidR="000151A1" w:rsidTr="00AF602B">
        <w:tc>
          <w:tcPr>
            <w:tcW w:w="0" w:type="auto"/>
            <w:shd w:val="clear" w:color="auto" w:fill="B3B3B3"/>
          </w:tcPr>
          <w:p w:rsidR="000151A1" w:rsidRDefault="000151A1" w:rsidP="00AF602B">
            <w:r>
              <w:rPr>
                <w:rFonts w:ascii="Arial Narrow" w:eastAsia="Arial Narrow" w:hAnsi="Arial Narrow" w:cs="Arial Narrow"/>
                <w:b/>
              </w:rPr>
              <w:t>Definición</w:t>
            </w:r>
          </w:p>
        </w:tc>
        <w:tc>
          <w:tcPr>
            <w:tcW w:w="0" w:type="auto"/>
            <w:shd w:val="clear" w:color="auto" w:fill="E6E6E6"/>
          </w:tcPr>
          <w:p w:rsidR="000151A1" w:rsidRDefault="000151A1" w:rsidP="00AF602B">
            <w:r>
              <w:rPr>
                <w:rFonts w:ascii="Arial Narrow" w:eastAsia="Arial Narrow" w:hAnsi="Arial Narrow" w:cs="Arial Narrow"/>
              </w:rPr>
              <w:t>Número de alumnos de 15 años, por cada 100, cuyos puntajes obtenidos en las áreas evaluadas por la prueba PISA los ubican en los niveles Por debajo del nivel 1b, 1b y 1a en la competencia de lectura, es decir, alumnos incapaces de realizar el tipo de lectura más básico; estudiantes capaces de localizar un solo fragmento de información explícita ubicado en un lugar evidente dentro de un texto corto, cuya estructura sintáctica sea sencilla, esté ubicado en un contexto familiar y sea del tipo narrativo o en forma de una lista simple; o bien, lectores que pueden localizar uno o más fragmentos independientes de información explícita.</w:t>
            </w:r>
          </w:p>
        </w:tc>
      </w:tr>
      <w:tr w:rsidR="000151A1" w:rsidTr="00AF602B">
        <w:tc>
          <w:tcPr>
            <w:tcW w:w="0" w:type="auto"/>
            <w:gridSpan w:val="2"/>
            <w:shd w:val="clear" w:color="auto" w:fill="B3B3B3"/>
          </w:tcPr>
          <w:p w:rsidR="000151A1" w:rsidRDefault="000151A1" w:rsidP="00AF602B">
            <w:r>
              <w:rPr>
                <w:rFonts w:ascii="Arial Narrow" w:eastAsia="Arial Narrow" w:hAnsi="Arial Narrow" w:cs="Arial Narrow"/>
                <w:b/>
              </w:rPr>
              <w:t>Fórmula</w:t>
            </w:r>
          </w:p>
        </w:tc>
      </w:tr>
      <w:tr w:rsidR="000151A1" w:rsidTr="00AF602B">
        <w:tc>
          <w:tcPr>
            <w:tcW w:w="0" w:type="auto"/>
            <w:gridSpan w:val="2"/>
            <w:shd w:val="clear" w:color="auto" w:fill="E6E6E6"/>
          </w:tcPr>
          <w:p w:rsidR="000151A1" w:rsidRDefault="000151A1" w:rsidP="00AF602B">
            <w:r>
              <w:rPr>
                <w:noProof/>
                <w:lang w:val="en-US" w:bidi="ar-SA"/>
              </w:rPr>
              <w:drawing>
                <wp:inline distT="0" distB="0" distL="0" distR="0" wp14:anchorId="678963AF" wp14:editId="1CC22DC8">
                  <wp:extent cx="850000" cy="310000"/>
                  <wp:effectExtent l="0" t="0" r="0" b="0"/>
                  <wp:docPr id="1" name="Drawing 0" descr="hola"/>
                  <wp:cNvGraphicFramePr/>
                  <a:graphic xmlns:a="http://schemas.openxmlformats.org/drawingml/2006/main">
                    <a:graphicData uri="http://schemas.openxmlformats.org/drawingml/2006/picture">
                      <pic:pic xmlns:pic="http://schemas.openxmlformats.org/drawingml/2006/picture">
                        <pic:nvPicPr>
                          <pic:cNvPr id="0" name="Picture 0" descr="hola"/>
                          <pic:cNvPicPr>
                            <a:picLocks noChangeAspect="1"/>
                          </pic:cNvPicPr>
                        </pic:nvPicPr>
                        <pic:blipFill>
                          <a:blip r:embed="rId4"/>
                          <a:stretch>
                            <a:fillRect/>
                          </a:stretch>
                        </pic:blipFill>
                        <pic:spPr>
                          <a:xfrm>
                            <a:off x="0" y="0"/>
                            <a:ext cx="850000" cy="310000"/>
                          </a:xfrm>
                          <a:prstGeom prst="rect">
                            <a:avLst/>
                          </a:prstGeom>
                        </pic:spPr>
                      </pic:pic>
                    </a:graphicData>
                  </a:graphic>
                </wp:inline>
              </w:drawing>
            </w:r>
          </w:p>
        </w:tc>
      </w:tr>
      <w:tr w:rsidR="000151A1" w:rsidTr="00AF602B">
        <w:tc>
          <w:tcPr>
            <w:tcW w:w="0" w:type="auto"/>
            <w:gridSpan w:val="2"/>
            <w:shd w:val="clear" w:color="auto" w:fill="B3B3B3"/>
          </w:tcPr>
          <w:p w:rsidR="000151A1" w:rsidRDefault="000151A1" w:rsidP="00AF602B">
            <w:r>
              <w:rPr>
                <w:rFonts w:ascii="Arial Narrow" w:eastAsia="Arial Narrow" w:hAnsi="Arial Narrow" w:cs="Arial Narrow"/>
                <w:b/>
              </w:rPr>
              <w:t>Elementos del cálculo</w:t>
            </w:r>
          </w:p>
        </w:tc>
      </w:tr>
      <w:tr w:rsidR="000151A1" w:rsidTr="00AF602B">
        <w:tc>
          <w:tcPr>
            <w:tcW w:w="0" w:type="auto"/>
            <w:gridSpan w:val="2"/>
            <w:shd w:val="clear" w:color="auto" w:fill="E6E6E6"/>
          </w:tcPr>
          <w:p w:rsidR="000151A1" w:rsidRDefault="000151A1" w:rsidP="00AF602B">
            <w:r>
              <w:rPr>
                <w:noProof/>
                <w:lang w:val="en-US" w:bidi="ar-SA"/>
              </w:rPr>
              <w:drawing>
                <wp:inline distT="0" distB="0" distL="0" distR="0" wp14:anchorId="60631923" wp14:editId="54C8387E">
                  <wp:extent cx="5650000" cy="670000"/>
                  <wp:effectExtent l="0" t="0" r="0" b="0"/>
                  <wp:docPr id="2" name="Drawing 1" descr="hola"/>
                  <wp:cNvGraphicFramePr/>
                  <a:graphic xmlns:a="http://schemas.openxmlformats.org/drawingml/2006/main">
                    <a:graphicData uri="http://schemas.openxmlformats.org/drawingml/2006/picture">
                      <pic:pic xmlns:pic="http://schemas.openxmlformats.org/drawingml/2006/picture">
                        <pic:nvPicPr>
                          <pic:cNvPr id="0" name="Picture 1" descr="hola"/>
                          <pic:cNvPicPr>
                            <a:picLocks noChangeAspect="1"/>
                          </pic:cNvPicPr>
                        </pic:nvPicPr>
                        <pic:blipFill>
                          <a:blip r:embed="rId5"/>
                          <a:stretch>
                            <a:fillRect/>
                          </a:stretch>
                        </pic:blipFill>
                        <pic:spPr>
                          <a:xfrm>
                            <a:off x="0" y="0"/>
                            <a:ext cx="5650000" cy="670000"/>
                          </a:xfrm>
                          <a:prstGeom prst="rect">
                            <a:avLst/>
                          </a:prstGeom>
                        </pic:spPr>
                      </pic:pic>
                    </a:graphicData>
                  </a:graphic>
                </wp:inline>
              </w:drawing>
            </w:r>
          </w:p>
        </w:tc>
      </w:tr>
      <w:tr w:rsidR="000151A1" w:rsidTr="00AF602B">
        <w:tc>
          <w:tcPr>
            <w:tcW w:w="0" w:type="auto"/>
            <w:gridSpan w:val="2"/>
            <w:shd w:val="clear" w:color="auto" w:fill="B3B3B3"/>
          </w:tcPr>
          <w:p w:rsidR="000151A1" w:rsidRDefault="000151A1" w:rsidP="00AF602B">
            <w:r>
              <w:rPr>
                <w:rFonts w:ascii="Arial Narrow" w:eastAsia="Arial Narrow" w:hAnsi="Arial Narrow" w:cs="Arial Narrow"/>
                <w:b/>
              </w:rPr>
              <w:t>Fuente de la fórmula</w:t>
            </w:r>
          </w:p>
        </w:tc>
      </w:tr>
      <w:tr w:rsidR="000151A1" w:rsidTr="00AF602B">
        <w:tc>
          <w:tcPr>
            <w:tcW w:w="0" w:type="auto"/>
            <w:gridSpan w:val="2"/>
            <w:shd w:val="clear" w:color="auto" w:fill="E6E6E6"/>
          </w:tcPr>
          <w:p w:rsidR="000151A1" w:rsidRDefault="000151A1" w:rsidP="00AF602B">
            <w:r>
              <w:rPr>
                <w:rFonts w:ascii="Arial Narrow" w:eastAsia="Arial Narrow" w:hAnsi="Arial Narrow" w:cs="Arial Narrow"/>
              </w:rPr>
              <w:t>Indicador RE02a del INEE http://www.inee.edu.mx/bie_wr/mapa_indica/2014/PanoramaEducativoDeMexico/RE/RE02/2014_RE02__a.pdf</w:t>
            </w:r>
          </w:p>
        </w:tc>
      </w:tr>
      <w:tr w:rsidR="000151A1" w:rsidTr="00AF602B">
        <w:tc>
          <w:tcPr>
            <w:tcW w:w="0" w:type="auto"/>
            <w:shd w:val="clear" w:color="auto" w:fill="B3B3B3"/>
          </w:tcPr>
          <w:p w:rsidR="000151A1" w:rsidRDefault="000151A1" w:rsidP="00AF602B">
            <w:r>
              <w:rPr>
                <w:rFonts w:ascii="Arial Narrow" w:eastAsia="Arial Narrow" w:hAnsi="Arial Narrow" w:cs="Arial Narrow"/>
                <w:b/>
              </w:rPr>
              <w:t>Unidad de Medida</w:t>
            </w:r>
          </w:p>
        </w:tc>
        <w:tc>
          <w:tcPr>
            <w:tcW w:w="0" w:type="auto"/>
            <w:shd w:val="clear" w:color="auto" w:fill="E6E6E6"/>
          </w:tcPr>
          <w:p w:rsidR="000151A1" w:rsidRDefault="000151A1" w:rsidP="00AF602B">
            <w:r>
              <w:rPr>
                <w:rFonts w:ascii="Arial Narrow" w:eastAsia="Arial Narrow" w:hAnsi="Arial Narrow" w:cs="Arial Narrow"/>
              </w:rPr>
              <w:t>Porcentaje</w:t>
            </w:r>
          </w:p>
        </w:tc>
      </w:tr>
      <w:tr w:rsidR="000151A1" w:rsidTr="00AF602B">
        <w:tc>
          <w:tcPr>
            <w:tcW w:w="0" w:type="auto"/>
            <w:gridSpan w:val="2"/>
            <w:shd w:val="clear" w:color="auto" w:fill="B3B3B3"/>
          </w:tcPr>
          <w:p w:rsidR="000151A1" w:rsidRDefault="000151A1" w:rsidP="00AF602B">
            <w:r>
              <w:rPr>
                <w:rFonts w:ascii="Arial Narrow" w:eastAsia="Arial Narrow" w:hAnsi="Arial Narrow" w:cs="Arial Narrow"/>
                <w:b/>
              </w:rPr>
              <w:t>Años solicitados</w:t>
            </w:r>
          </w:p>
        </w:tc>
      </w:tr>
      <w:tr w:rsidR="000151A1" w:rsidTr="00AF602B">
        <w:tc>
          <w:tcPr>
            <w:tcW w:w="0" w:type="auto"/>
            <w:gridSpan w:val="2"/>
            <w:shd w:val="clear" w:color="auto" w:fill="E6E6E6"/>
          </w:tcPr>
          <w:p w:rsidR="000151A1" w:rsidRDefault="000151A1" w:rsidP="00AF602B">
            <w:r>
              <w:rPr>
                <w:rFonts w:ascii="Arial Narrow" w:eastAsia="Arial Narrow" w:hAnsi="Arial Narrow" w:cs="Arial Narrow"/>
              </w:rPr>
              <w:t>2012; 2015</w:t>
            </w:r>
          </w:p>
        </w:tc>
      </w:tr>
      <w:tr w:rsidR="000151A1" w:rsidTr="00AF602B">
        <w:tc>
          <w:tcPr>
            <w:tcW w:w="0" w:type="auto"/>
            <w:gridSpan w:val="2"/>
            <w:shd w:val="clear" w:color="auto" w:fill="B3B3B3"/>
          </w:tcPr>
          <w:p w:rsidR="000151A1" w:rsidRDefault="000151A1" w:rsidP="00AF602B">
            <w:r>
              <w:rPr>
                <w:rFonts w:ascii="Arial Narrow" w:eastAsia="Arial Narrow" w:hAnsi="Arial Narrow" w:cs="Arial Narrow"/>
                <w:b/>
              </w:rPr>
              <w:t>Desgloses solicitados</w:t>
            </w:r>
          </w:p>
        </w:tc>
      </w:tr>
      <w:tr w:rsidR="000151A1" w:rsidTr="00AF602B">
        <w:tc>
          <w:tcPr>
            <w:tcW w:w="0" w:type="auto"/>
            <w:gridSpan w:val="2"/>
            <w:shd w:val="clear" w:color="auto" w:fill="E6E6E6"/>
          </w:tcPr>
          <w:p w:rsidR="000151A1" w:rsidRDefault="000151A1" w:rsidP="00AF602B">
            <w:r>
              <w:rPr>
                <w:rFonts w:ascii="Arial Narrow" w:eastAsia="Arial Narrow" w:hAnsi="Arial Narrow" w:cs="Arial Narrow"/>
              </w:rPr>
              <w:t>Total nacional</w:t>
            </w:r>
          </w:p>
        </w:tc>
      </w:tr>
    </w:tbl>
    <w:p w:rsidR="000151A1" w:rsidRDefault="000151A1" w:rsidP="000151A1"/>
    <w:tbl>
      <w:tblPr>
        <w:tblW w:w="0" w:type="auto"/>
        <w:tblInd w:w="10" w:type="dxa"/>
        <w:tblCellMar>
          <w:left w:w="10" w:type="dxa"/>
          <w:right w:w="10" w:type="dxa"/>
        </w:tblCellMar>
        <w:tblLook w:val="04A0" w:firstRow="1" w:lastRow="0" w:firstColumn="1" w:lastColumn="0" w:noHBand="0" w:noVBand="1"/>
      </w:tblPr>
      <w:tblGrid>
        <w:gridCol w:w="8828"/>
      </w:tblGrid>
      <w:tr w:rsidR="000151A1" w:rsidTr="00AF602B">
        <w:tc>
          <w:tcPr>
            <w:tcW w:w="0" w:type="auto"/>
            <w:shd w:val="clear" w:color="auto" w:fill="B3B3B3"/>
          </w:tcPr>
          <w:p w:rsidR="000151A1" w:rsidRDefault="000151A1" w:rsidP="00AF602B">
            <w:r>
              <w:rPr>
                <w:rFonts w:ascii="Arial Narrow" w:eastAsia="Arial Narrow" w:hAnsi="Arial Narrow" w:cs="Arial Narrow"/>
                <w:b/>
                <w:sz w:val="24"/>
              </w:rPr>
              <w:t>Variable: Porcentaje de estudiantes de 15 años con bajo desempeño en competencia lectora evaluada por PISA</w:t>
            </w:r>
          </w:p>
        </w:tc>
      </w:tr>
      <w:tr w:rsidR="000151A1" w:rsidTr="00AF602B">
        <w:tc>
          <w:tcPr>
            <w:tcW w:w="0" w:type="auto"/>
            <w:shd w:val="clear" w:color="auto" w:fill="B3B3B3"/>
          </w:tcPr>
          <w:p w:rsidR="000151A1" w:rsidRDefault="000151A1" w:rsidP="00AF602B">
            <w:r>
              <w:rPr>
                <w:rFonts w:ascii="Arial Narrow" w:eastAsia="Arial Narrow" w:hAnsi="Arial Narrow" w:cs="Arial Narrow"/>
                <w:b/>
              </w:rPr>
              <w:t>Origen de datos</w:t>
            </w:r>
          </w:p>
        </w:tc>
      </w:tr>
      <w:tr w:rsidR="000151A1" w:rsidTr="00AF602B">
        <w:tc>
          <w:tcPr>
            <w:tcW w:w="0" w:type="auto"/>
            <w:shd w:val="clear" w:color="auto" w:fill="E6E6E6"/>
          </w:tcPr>
          <w:p w:rsidR="000151A1" w:rsidRDefault="000151A1" w:rsidP="00AF602B">
            <w:r>
              <w:rPr>
                <w:rFonts w:ascii="Arial Narrow" w:eastAsia="Arial Narrow" w:hAnsi="Arial Narrow" w:cs="Arial Narrow"/>
              </w:rPr>
              <w:t>INEE. Banco de indicadores Educativos. Indicador RE02 Porcentaje de estudiantes de 15 años con bajo desempeño en la competencia de Matemáticas evaluada por PISA (2003 y 2012).</w:t>
            </w:r>
          </w:p>
        </w:tc>
      </w:tr>
      <w:tr w:rsidR="000151A1" w:rsidTr="00AF602B">
        <w:tc>
          <w:tcPr>
            <w:tcW w:w="0" w:type="auto"/>
            <w:shd w:val="clear" w:color="auto" w:fill="B3B3B3"/>
          </w:tcPr>
          <w:p w:rsidR="000151A1" w:rsidRDefault="000151A1" w:rsidP="00AF602B">
            <w:r>
              <w:rPr>
                <w:rFonts w:ascii="Arial Narrow" w:eastAsia="Arial Narrow" w:hAnsi="Arial Narrow" w:cs="Arial Narrow"/>
                <w:b/>
              </w:rPr>
              <w:t>URL</w:t>
            </w:r>
          </w:p>
        </w:tc>
      </w:tr>
      <w:tr w:rsidR="000151A1" w:rsidTr="00AF602B">
        <w:tc>
          <w:tcPr>
            <w:tcW w:w="0" w:type="auto"/>
            <w:shd w:val="clear" w:color="auto" w:fill="E6E6E6"/>
          </w:tcPr>
          <w:p w:rsidR="000151A1" w:rsidRDefault="000151A1" w:rsidP="00AF602B">
            <w:hyperlink r:id="rId6">
              <w:r>
                <w:rPr>
                  <w:color w:val="0000FF"/>
                  <w:u w:val="single"/>
                </w:rPr>
                <w:t>http://www.inee.edu.mx/bie_wr/mapa_indica/2012/PanoramaEducativoDeMexico/RE/RE02/2012_RE02__a.pdf</w:t>
              </w:r>
            </w:hyperlink>
          </w:p>
        </w:tc>
      </w:tr>
      <w:tr w:rsidR="000151A1" w:rsidTr="00AF602B">
        <w:tc>
          <w:tcPr>
            <w:tcW w:w="0" w:type="auto"/>
            <w:shd w:val="clear" w:color="auto" w:fill="B3B3B3"/>
          </w:tcPr>
          <w:p w:rsidR="000151A1" w:rsidRDefault="000151A1" w:rsidP="00AF602B">
            <w:r>
              <w:rPr>
                <w:rFonts w:ascii="Arial Narrow" w:eastAsia="Arial Narrow" w:hAnsi="Arial Narrow" w:cs="Arial Narrow"/>
                <w:b/>
              </w:rPr>
              <w:t>Unidad de medida</w:t>
            </w:r>
          </w:p>
        </w:tc>
      </w:tr>
      <w:tr w:rsidR="000151A1" w:rsidTr="00AF602B">
        <w:tc>
          <w:tcPr>
            <w:tcW w:w="0" w:type="auto"/>
            <w:shd w:val="clear" w:color="auto" w:fill="E6E6E6"/>
          </w:tcPr>
          <w:p w:rsidR="000151A1" w:rsidRDefault="000151A1" w:rsidP="00AF602B">
            <w:r>
              <w:rPr>
                <w:rFonts w:ascii="Arial Narrow" w:eastAsia="Arial Narrow" w:hAnsi="Arial Narrow" w:cs="Arial Narrow"/>
              </w:rPr>
              <w:t>Porcentaje</w:t>
            </w:r>
          </w:p>
        </w:tc>
      </w:tr>
    </w:tbl>
    <w:p w:rsidR="000151A1" w:rsidRDefault="000151A1" w:rsidP="000151A1"/>
    <w:tbl>
      <w:tblPr>
        <w:tblW w:w="0" w:type="auto"/>
        <w:tblInd w:w="10" w:type="dxa"/>
        <w:tblCellMar>
          <w:left w:w="10" w:type="dxa"/>
          <w:right w:w="10" w:type="dxa"/>
        </w:tblCellMar>
        <w:tblLook w:val="04A0" w:firstRow="1" w:lastRow="0" w:firstColumn="1" w:lastColumn="0" w:noHBand="0" w:noVBand="1"/>
      </w:tblPr>
      <w:tblGrid>
        <w:gridCol w:w="8828"/>
      </w:tblGrid>
      <w:tr w:rsidR="000151A1" w:rsidTr="00AF602B">
        <w:tc>
          <w:tcPr>
            <w:tcW w:w="0" w:type="auto"/>
            <w:shd w:val="clear" w:color="auto" w:fill="B3B3B3"/>
          </w:tcPr>
          <w:p w:rsidR="000151A1" w:rsidRDefault="000151A1" w:rsidP="00AF602B">
            <w:r>
              <w:rPr>
                <w:rFonts w:ascii="Arial Narrow" w:eastAsia="Arial Narrow" w:hAnsi="Arial Narrow" w:cs="Arial Narrow"/>
                <w:b/>
                <w:sz w:val="24"/>
              </w:rPr>
              <w:t>Variable: Número estimado de alumnos de 15 años con bajo rendimiento en la competencia lectora evaluada por PISA</w:t>
            </w:r>
          </w:p>
        </w:tc>
      </w:tr>
      <w:tr w:rsidR="000151A1" w:rsidTr="00AF602B">
        <w:tc>
          <w:tcPr>
            <w:tcW w:w="0" w:type="auto"/>
            <w:shd w:val="clear" w:color="auto" w:fill="B3B3B3"/>
          </w:tcPr>
          <w:p w:rsidR="000151A1" w:rsidRDefault="000151A1" w:rsidP="00AF602B">
            <w:r>
              <w:rPr>
                <w:rFonts w:ascii="Arial Narrow" w:eastAsia="Arial Narrow" w:hAnsi="Arial Narrow" w:cs="Arial Narrow"/>
                <w:b/>
              </w:rPr>
              <w:t>Origen de datos</w:t>
            </w:r>
          </w:p>
        </w:tc>
      </w:tr>
      <w:tr w:rsidR="000151A1" w:rsidTr="00AF602B">
        <w:tc>
          <w:tcPr>
            <w:tcW w:w="0" w:type="auto"/>
            <w:shd w:val="clear" w:color="auto" w:fill="E6E6E6"/>
          </w:tcPr>
          <w:p w:rsidR="000151A1" w:rsidRDefault="000151A1" w:rsidP="00AF602B">
            <w:r>
              <w:rPr>
                <w:rFonts w:ascii="Arial Narrow" w:eastAsia="Arial Narrow" w:hAnsi="Arial Narrow" w:cs="Arial Narrow"/>
              </w:rPr>
              <w:t>INEE. Banco de indicadores Educativos. Indicador RE02 Porcentaje de estudiantes de 15 años con bajo desempeño en la competencia de Matemáticas evaluada por PISA (2003 y 2012).</w:t>
            </w:r>
          </w:p>
        </w:tc>
      </w:tr>
      <w:tr w:rsidR="000151A1" w:rsidTr="00AF602B">
        <w:tc>
          <w:tcPr>
            <w:tcW w:w="0" w:type="auto"/>
            <w:shd w:val="clear" w:color="auto" w:fill="B3B3B3"/>
          </w:tcPr>
          <w:p w:rsidR="000151A1" w:rsidRDefault="000151A1" w:rsidP="00AF602B">
            <w:r>
              <w:rPr>
                <w:rFonts w:ascii="Arial Narrow" w:eastAsia="Arial Narrow" w:hAnsi="Arial Narrow" w:cs="Arial Narrow"/>
                <w:b/>
              </w:rPr>
              <w:t>URL</w:t>
            </w:r>
          </w:p>
        </w:tc>
      </w:tr>
      <w:tr w:rsidR="000151A1" w:rsidTr="00AF602B">
        <w:tc>
          <w:tcPr>
            <w:tcW w:w="0" w:type="auto"/>
            <w:shd w:val="clear" w:color="auto" w:fill="E6E6E6"/>
          </w:tcPr>
          <w:p w:rsidR="000151A1" w:rsidRDefault="000151A1" w:rsidP="00AF602B">
            <w:hyperlink r:id="rId7">
              <w:r>
                <w:rPr>
                  <w:color w:val="0000FF"/>
                  <w:u w:val="single"/>
                </w:rPr>
                <w:t>http://www.inee.edu.mx/bie_wr/mapa_indica/2012/PanoramaEducativoDeMexico/RE/RE02/2012_RE02__a.pdf</w:t>
              </w:r>
            </w:hyperlink>
          </w:p>
        </w:tc>
      </w:tr>
      <w:tr w:rsidR="000151A1" w:rsidTr="00AF602B">
        <w:tc>
          <w:tcPr>
            <w:tcW w:w="0" w:type="auto"/>
            <w:shd w:val="clear" w:color="auto" w:fill="B3B3B3"/>
          </w:tcPr>
          <w:p w:rsidR="000151A1" w:rsidRDefault="000151A1" w:rsidP="00AF602B">
            <w:r>
              <w:rPr>
                <w:rFonts w:ascii="Arial Narrow" w:eastAsia="Arial Narrow" w:hAnsi="Arial Narrow" w:cs="Arial Narrow"/>
                <w:b/>
              </w:rPr>
              <w:t>Unidad de medida</w:t>
            </w:r>
          </w:p>
        </w:tc>
      </w:tr>
      <w:tr w:rsidR="000151A1" w:rsidTr="00AF602B">
        <w:tc>
          <w:tcPr>
            <w:tcW w:w="0" w:type="auto"/>
            <w:shd w:val="clear" w:color="auto" w:fill="E6E6E6"/>
          </w:tcPr>
          <w:p w:rsidR="000151A1" w:rsidRDefault="000151A1" w:rsidP="00AF602B">
            <w:r>
              <w:rPr>
                <w:rFonts w:ascii="Arial Narrow" w:eastAsia="Arial Narrow" w:hAnsi="Arial Narrow" w:cs="Arial Narrow"/>
              </w:rPr>
              <w:t>Alumnos</w:t>
            </w:r>
          </w:p>
        </w:tc>
      </w:tr>
    </w:tbl>
    <w:p w:rsidR="000151A1" w:rsidRDefault="000151A1" w:rsidP="000151A1"/>
    <w:tbl>
      <w:tblPr>
        <w:tblW w:w="0" w:type="auto"/>
        <w:tblInd w:w="10" w:type="dxa"/>
        <w:tblCellMar>
          <w:left w:w="10" w:type="dxa"/>
          <w:right w:w="10" w:type="dxa"/>
        </w:tblCellMar>
        <w:tblLook w:val="04A0" w:firstRow="1" w:lastRow="0" w:firstColumn="1" w:lastColumn="0" w:noHBand="0" w:noVBand="1"/>
      </w:tblPr>
      <w:tblGrid>
        <w:gridCol w:w="8828"/>
      </w:tblGrid>
      <w:tr w:rsidR="000151A1" w:rsidTr="00AF602B">
        <w:tc>
          <w:tcPr>
            <w:tcW w:w="0" w:type="auto"/>
            <w:shd w:val="clear" w:color="auto" w:fill="B3B3B3"/>
          </w:tcPr>
          <w:p w:rsidR="000151A1" w:rsidRDefault="000151A1" w:rsidP="00AF602B">
            <w:r>
              <w:rPr>
                <w:rFonts w:ascii="Arial Narrow" w:eastAsia="Arial Narrow" w:hAnsi="Arial Narrow" w:cs="Arial Narrow"/>
                <w:b/>
                <w:sz w:val="24"/>
              </w:rPr>
              <w:lastRenderedPageBreak/>
              <w:t>Variable: Número estimado de alumnos de 15 años inscritos en educación secundaria o media superior.</w:t>
            </w:r>
          </w:p>
        </w:tc>
      </w:tr>
      <w:tr w:rsidR="000151A1" w:rsidTr="00AF602B">
        <w:tc>
          <w:tcPr>
            <w:tcW w:w="0" w:type="auto"/>
            <w:shd w:val="clear" w:color="auto" w:fill="B3B3B3"/>
          </w:tcPr>
          <w:p w:rsidR="000151A1" w:rsidRDefault="000151A1" w:rsidP="00AF602B">
            <w:r>
              <w:rPr>
                <w:rFonts w:ascii="Arial Narrow" w:eastAsia="Arial Narrow" w:hAnsi="Arial Narrow" w:cs="Arial Narrow"/>
                <w:b/>
              </w:rPr>
              <w:t>Origen de datos</w:t>
            </w:r>
          </w:p>
        </w:tc>
      </w:tr>
      <w:tr w:rsidR="000151A1" w:rsidTr="00AF602B">
        <w:tc>
          <w:tcPr>
            <w:tcW w:w="0" w:type="auto"/>
            <w:shd w:val="clear" w:color="auto" w:fill="E6E6E6"/>
          </w:tcPr>
          <w:p w:rsidR="000151A1" w:rsidRDefault="000151A1" w:rsidP="00AF602B">
            <w:r>
              <w:rPr>
                <w:rFonts w:ascii="Arial Narrow" w:eastAsia="Arial Narrow" w:hAnsi="Arial Narrow" w:cs="Arial Narrow"/>
              </w:rPr>
              <w:t>INEE. Banco de indicadores Educativos. Indicador RE02 Porcentaje de estudiantes de 15 años con bajo desempeño en la competencia de Matemáticas evaluada por PISA (2003 y 2012).</w:t>
            </w:r>
          </w:p>
        </w:tc>
      </w:tr>
      <w:tr w:rsidR="000151A1" w:rsidTr="00AF602B">
        <w:tc>
          <w:tcPr>
            <w:tcW w:w="0" w:type="auto"/>
            <w:shd w:val="clear" w:color="auto" w:fill="B3B3B3"/>
          </w:tcPr>
          <w:p w:rsidR="000151A1" w:rsidRDefault="000151A1" w:rsidP="00AF602B">
            <w:r>
              <w:rPr>
                <w:rFonts w:ascii="Arial Narrow" w:eastAsia="Arial Narrow" w:hAnsi="Arial Narrow" w:cs="Arial Narrow"/>
                <w:b/>
              </w:rPr>
              <w:t>URL</w:t>
            </w:r>
          </w:p>
        </w:tc>
      </w:tr>
      <w:tr w:rsidR="000151A1" w:rsidTr="00AF602B">
        <w:tc>
          <w:tcPr>
            <w:tcW w:w="0" w:type="auto"/>
            <w:shd w:val="clear" w:color="auto" w:fill="E6E6E6"/>
          </w:tcPr>
          <w:p w:rsidR="000151A1" w:rsidRDefault="000151A1" w:rsidP="00AF602B">
            <w:hyperlink r:id="rId8">
              <w:r>
                <w:rPr>
                  <w:color w:val="0000FF"/>
                  <w:u w:val="single"/>
                </w:rPr>
                <w:t>http://www.inee.edu.mx/bie_wr/mapa_indica/2012/PanoramaEducativoDeMexico/RE/RE02/2012_RE02__a.pdf</w:t>
              </w:r>
            </w:hyperlink>
          </w:p>
        </w:tc>
      </w:tr>
      <w:tr w:rsidR="000151A1" w:rsidTr="00AF602B">
        <w:tc>
          <w:tcPr>
            <w:tcW w:w="0" w:type="auto"/>
            <w:shd w:val="clear" w:color="auto" w:fill="B3B3B3"/>
          </w:tcPr>
          <w:p w:rsidR="000151A1" w:rsidRDefault="000151A1" w:rsidP="00AF602B">
            <w:r>
              <w:rPr>
                <w:rFonts w:ascii="Arial Narrow" w:eastAsia="Arial Narrow" w:hAnsi="Arial Narrow" w:cs="Arial Narrow"/>
                <w:b/>
              </w:rPr>
              <w:t>Unidad de medida</w:t>
            </w:r>
          </w:p>
        </w:tc>
      </w:tr>
      <w:tr w:rsidR="000151A1" w:rsidTr="00AF602B">
        <w:tc>
          <w:tcPr>
            <w:tcW w:w="0" w:type="auto"/>
            <w:shd w:val="clear" w:color="auto" w:fill="E6E6E6"/>
          </w:tcPr>
          <w:p w:rsidR="000151A1" w:rsidRDefault="000151A1" w:rsidP="00AF602B">
            <w:r>
              <w:rPr>
                <w:rFonts w:ascii="Arial Narrow" w:eastAsia="Arial Narrow" w:hAnsi="Arial Narrow" w:cs="Arial Narrow"/>
              </w:rPr>
              <w:t>Alumnos</w:t>
            </w:r>
          </w:p>
        </w:tc>
      </w:tr>
    </w:tbl>
    <w:p w:rsidR="006A3E5A" w:rsidRDefault="006A3E5A"/>
    <w:sectPr w:rsidR="006A3E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1"/>
    <w:rsid w:val="000151A1"/>
    <w:rsid w:val="006A3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7E8EC-C78C-4388-B54D-02B66206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1A1"/>
    <w:pPr>
      <w:spacing w:after="0" w:line="240" w:lineRule="auto"/>
    </w:pPr>
    <w:rPr>
      <w:rFonts w:ascii="Times New Roman" w:eastAsia="Times New Roman" w:hAnsi="Times New Roman" w:cs="Times New Roman"/>
      <w:sz w:val="20"/>
      <w:szCs w:val="20"/>
      <w:lang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e.edu.mx/bie_wr/mapa_indica/2012/PanoramaEducativoDeMexico/RE/RE02/2012_RE02__a.pdf" TargetMode="External"/><Relationship Id="rId3" Type="http://schemas.openxmlformats.org/officeDocument/2006/relationships/webSettings" Target="webSettings.xml"/><Relationship Id="rId7" Type="http://schemas.openxmlformats.org/officeDocument/2006/relationships/hyperlink" Target="http://www.inee.edu.mx/bie_wr/mapa_indica/2012/PanoramaEducativoDeMexico/RE/RE02/2012_RE02__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ee.edu.mx/bie_wr/mapa_indica/2012/PanoramaEducativoDeMexico/RE/RE02/2012_RE02__a.pdf"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Rene Rojas Olmos</dc:creator>
  <cp:keywords/>
  <dc:description/>
  <cp:lastModifiedBy>Raul Rene Rojas Olmos</cp:lastModifiedBy>
  <cp:revision>1</cp:revision>
  <dcterms:created xsi:type="dcterms:W3CDTF">2019-06-12T20:50:00Z</dcterms:created>
  <dcterms:modified xsi:type="dcterms:W3CDTF">2019-06-12T20:50:00Z</dcterms:modified>
</cp:coreProperties>
</file>