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7A" w:rsidRDefault="00C0527A" w:rsidP="00C0527A">
      <w:r>
        <w:rPr>
          <w:rFonts w:ascii="Arial Narrow" w:eastAsia="Arial Narrow" w:hAnsi="Arial Narrow" w:cs="Arial Narrow"/>
          <w:b/>
          <w:sz w:val="24"/>
        </w:rPr>
        <w:t>Indicador: Porcentaje de estudiantes que obtienen el nivel I de logro educativo (insuficiente) en los dominios evaluados en las pruebas de PLANEA sobre el Sistema Educativo Obligatorio</w:t>
      </w:r>
    </w:p>
    <w:p w:rsidR="00C0527A" w:rsidRDefault="00C0527A" w:rsidP="00C0527A">
      <w:r>
        <w:rPr>
          <w:rFonts w:ascii="Arial Narrow" w:eastAsia="Arial Narrow" w:hAnsi="Arial Narrow" w:cs="Arial Narrow"/>
          <w:b/>
          <w:sz w:val="24"/>
        </w:rPr>
        <w:t>Clave: EaP01d</w:t>
      </w:r>
    </w:p>
    <w:tbl>
      <w:tblPr>
        <w:tblW w:w="0" w:type="auto"/>
        <w:tblInd w:w="10" w:type="dxa"/>
        <w:tblBorders>
          <w:insideH w:val="thick" w:sz="3" w:space="3" w:color="FFFFFF"/>
          <w:insideV w:val="thick" w:sz="1" w:space="1" w:color="FFFFFF"/>
        </w:tblBorders>
        <w:tblCellMar>
          <w:left w:w="10" w:type="dxa"/>
          <w:right w:w="10" w:type="dxa"/>
        </w:tblCellMar>
        <w:tblLook w:val="04A0" w:firstRow="1" w:lastRow="0" w:firstColumn="1" w:lastColumn="0" w:noHBand="0" w:noVBand="1"/>
      </w:tblPr>
      <w:tblGrid>
        <w:gridCol w:w="1410"/>
        <w:gridCol w:w="7418"/>
      </w:tblGrid>
      <w:tr w:rsidR="00C0527A" w:rsidTr="00AF602B">
        <w:tc>
          <w:tcPr>
            <w:tcW w:w="0" w:type="auto"/>
            <w:shd w:val="clear" w:color="auto" w:fill="B3B3B3"/>
          </w:tcPr>
          <w:p w:rsidR="00C0527A" w:rsidRDefault="00C0527A" w:rsidP="00AF602B">
            <w:r>
              <w:rPr>
                <w:rFonts w:ascii="Arial Narrow" w:eastAsia="Arial Narrow" w:hAnsi="Arial Narrow" w:cs="Arial Narrow"/>
                <w:b/>
              </w:rPr>
              <w:t>Definición</w:t>
            </w:r>
          </w:p>
        </w:tc>
        <w:tc>
          <w:tcPr>
            <w:tcW w:w="0" w:type="auto"/>
            <w:shd w:val="clear" w:color="auto" w:fill="E6E6E6"/>
          </w:tcPr>
          <w:p w:rsidR="00C0527A" w:rsidRDefault="00C0527A" w:rsidP="00AF602B">
            <w:r>
              <w:rPr>
                <w:rFonts w:ascii="Arial Narrow" w:eastAsia="Arial Narrow" w:hAnsi="Arial Narrow" w:cs="Arial Narrow"/>
              </w:rPr>
              <w:t>Cantidad de alumnos por cada cien que alcanzaron un puntaje en la modalidad referida al Sistema de Educación Obligatoria (SEN), del Plan Nacional para la Evaluación de los Aprendizajes (PLANEA), que los ubica en el nivel I de logro educativo. Esto indica que tienen un logro insuficiente de los aprendizajes clave del currículo, es decir, carencias fundamentales en el aprendizaje de las competencias de Lenguaje y Comunicación y Matemáticas. Las aplicaciones de PLANEA-SEN se realizan de manera periódica a los alumnos de 6º de primaria y 3º de secundaria iniciando en 2015 y después siguiendo un calendario trienal.</w:t>
            </w:r>
          </w:p>
        </w:tc>
      </w:tr>
      <w:tr w:rsidR="00C0527A" w:rsidTr="00AF602B">
        <w:tc>
          <w:tcPr>
            <w:tcW w:w="0" w:type="auto"/>
            <w:gridSpan w:val="2"/>
            <w:shd w:val="clear" w:color="auto" w:fill="B3B3B3"/>
          </w:tcPr>
          <w:p w:rsidR="00C0527A" w:rsidRDefault="00C0527A" w:rsidP="00AF602B">
            <w:r>
              <w:rPr>
                <w:rFonts w:ascii="Arial Narrow" w:eastAsia="Arial Narrow" w:hAnsi="Arial Narrow" w:cs="Arial Narrow"/>
                <w:b/>
              </w:rPr>
              <w:t>Fórmula</w:t>
            </w:r>
          </w:p>
        </w:tc>
      </w:tr>
      <w:tr w:rsidR="00C0527A" w:rsidTr="00AF602B">
        <w:tc>
          <w:tcPr>
            <w:tcW w:w="0" w:type="auto"/>
            <w:gridSpan w:val="2"/>
            <w:shd w:val="clear" w:color="auto" w:fill="E6E6E6"/>
          </w:tcPr>
          <w:p w:rsidR="00C0527A" w:rsidRDefault="00C0527A" w:rsidP="00AF602B">
            <w:r>
              <w:rPr>
                <w:noProof/>
                <w:lang w:val="en-US" w:bidi="ar-SA"/>
              </w:rPr>
              <w:drawing>
                <wp:inline distT="0" distB="0" distL="0" distR="0" wp14:anchorId="7946D6DA" wp14:editId="2DAD5D7C">
                  <wp:extent cx="875000" cy="360000"/>
                  <wp:effectExtent l="0" t="0" r="0" b="0"/>
                  <wp:docPr id="7" name="Drawing 6" descr="hola"/>
                  <wp:cNvGraphicFramePr/>
                  <a:graphic xmlns:a="http://schemas.openxmlformats.org/drawingml/2006/main">
                    <a:graphicData uri="http://schemas.openxmlformats.org/drawingml/2006/picture">
                      <pic:pic xmlns:pic="http://schemas.openxmlformats.org/drawingml/2006/picture">
                        <pic:nvPicPr>
                          <pic:cNvPr id="0" name="Picture 6" descr="hola"/>
                          <pic:cNvPicPr>
                            <a:picLocks noChangeAspect="1"/>
                          </pic:cNvPicPr>
                        </pic:nvPicPr>
                        <pic:blipFill>
                          <a:blip r:embed="rId4"/>
                          <a:stretch>
                            <a:fillRect/>
                          </a:stretch>
                        </pic:blipFill>
                        <pic:spPr>
                          <a:xfrm>
                            <a:off x="0" y="0"/>
                            <a:ext cx="875000" cy="360000"/>
                          </a:xfrm>
                          <a:prstGeom prst="rect">
                            <a:avLst/>
                          </a:prstGeom>
                        </pic:spPr>
                      </pic:pic>
                    </a:graphicData>
                  </a:graphic>
                </wp:inline>
              </w:drawing>
            </w:r>
          </w:p>
        </w:tc>
      </w:tr>
      <w:tr w:rsidR="00C0527A" w:rsidTr="00AF602B">
        <w:tc>
          <w:tcPr>
            <w:tcW w:w="0" w:type="auto"/>
            <w:gridSpan w:val="2"/>
            <w:shd w:val="clear" w:color="auto" w:fill="B3B3B3"/>
          </w:tcPr>
          <w:p w:rsidR="00C0527A" w:rsidRDefault="00C0527A" w:rsidP="00AF602B">
            <w:r>
              <w:rPr>
                <w:rFonts w:ascii="Arial Narrow" w:eastAsia="Arial Narrow" w:hAnsi="Arial Narrow" w:cs="Arial Narrow"/>
                <w:b/>
              </w:rPr>
              <w:t>Elementos del cálculo</w:t>
            </w:r>
          </w:p>
        </w:tc>
      </w:tr>
      <w:tr w:rsidR="00C0527A" w:rsidTr="00AF602B">
        <w:tc>
          <w:tcPr>
            <w:tcW w:w="0" w:type="auto"/>
            <w:gridSpan w:val="2"/>
            <w:shd w:val="clear" w:color="auto" w:fill="E6E6E6"/>
          </w:tcPr>
          <w:p w:rsidR="00C0527A" w:rsidRDefault="00C0527A" w:rsidP="00AF602B">
            <w:r>
              <w:rPr>
                <w:noProof/>
                <w:lang w:val="en-US" w:bidi="ar-SA"/>
              </w:rPr>
              <w:drawing>
                <wp:inline distT="0" distB="0" distL="0" distR="0" wp14:anchorId="6EE83449" wp14:editId="5D2AD758">
                  <wp:extent cx="5650000" cy="925000"/>
                  <wp:effectExtent l="0" t="0" r="0" b="0"/>
                  <wp:docPr id="8" name="Drawing 7" descr="hola"/>
                  <wp:cNvGraphicFramePr/>
                  <a:graphic xmlns:a="http://schemas.openxmlformats.org/drawingml/2006/main">
                    <a:graphicData uri="http://schemas.openxmlformats.org/drawingml/2006/picture">
                      <pic:pic xmlns:pic="http://schemas.openxmlformats.org/drawingml/2006/picture">
                        <pic:nvPicPr>
                          <pic:cNvPr id="0" name="Picture 7" descr="hola"/>
                          <pic:cNvPicPr>
                            <a:picLocks noChangeAspect="1"/>
                          </pic:cNvPicPr>
                        </pic:nvPicPr>
                        <pic:blipFill>
                          <a:blip r:embed="rId5"/>
                          <a:stretch>
                            <a:fillRect/>
                          </a:stretch>
                        </pic:blipFill>
                        <pic:spPr>
                          <a:xfrm>
                            <a:off x="0" y="0"/>
                            <a:ext cx="5650000" cy="925000"/>
                          </a:xfrm>
                          <a:prstGeom prst="rect">
                            <a:avLst/>
                          </a:prstGeom>
                        </pic:spPr>
                      </pic:pic>
                    </a:graphicData>
                  </a:graphic>
                </wp:inline>
              </w:drawing>
            </w:r>
          </w:p>
        </w:tc>
      </w:tr>
      <w:tr w:rsidR="00C0527A" w:rsidTr="00AF602B">
        <w:tc>
          <w:tcPr>
            <w:tcW w:w="0" w:type="auto"/>
            <w:gridSpan w:val="2"/>
            <w:shd w:val="clear" w:color="auto" w:fill="B3B3B3"/>
          </w:tcPr>
          <w:p w:rsidR="00C0527A" w:rsidRDefault="00C0527A" w:rsidP="00AF602B">
            <w:r>
              <w:rPr>
                <w:rFonts w:ascii="Arial Narrow" w:eastAsia="Arial Narrow" w:hAnsi="Arial Narrow" w:cs="Arial Narrow"/>
                <w:b/>
              </w:rPr>
              <w:t>Fuente de la fórmula</w:t>
            </w:r>
          </w:p>
        </w:tc>
      </w:tr>
      <w:tr w:rsidR="00C0527A" w:rsidTr="00AF602B">
        <w:tc>
          <w:tcPr>
            <w:tcW w:w="0" w:type="auto"/>
            <w:gridSpan w:val="2"/>
            <w:shd w:val="clear" w:color="auto" w:fill="E6E6E6"/>
          </w:tcPr>
          <w:p w:rsidR="00C0527A" w:rsidRDefault="00C0527A" w:rsidP="00AF602B">
            <w:r>
              <w:rPr>
                <w:rFonts w:ascii="Arial Narrow" w:eastAsia="Arial Narrow" w:hAnsi="Arial Narrow" w:cs="Arial Narrow"/>
              </w:rPr>
              <w:t>Fórmula Sugerida por el INEE</w:t>
            </w:r>
          </w:p>
        </w:tc>
      </w:tr>
      <w:tr w:rsidR="00C0527A" w:rsidTr="00AF602B">
        <w:tc>
          <w:tcPr>
            <w:tcW w:w="0" w:type="auto"/>
            <w:shd w:val="clear" w:color="auto" w:fill="B3B3B3"/>
          </w:tcPr>
          <w:p w:rsidR="00C0527A" w:rsidRDefault="00C0527A" w:rsidP="00AF602B">
            <w:r>
              <w:rPr>
                <w:rFonts w:ascii="Arial Narrow" w:eastAsia="Arial Narrow" w:hAnsi="Arial Narrow" w:cs="Arial Narrow"/>
                <w:b/>
              </w:rPr>
              <w:t>Unidad de Medida</w:t>
            </w:r>
          </w:p>
        </w:tc>
        <w:tc>
          <w:tcPr>
            <w:tcW w:w="0" w:type="auto"/>
            <w:shd w:val="clear" w:color="auto" w:fill="E6E6E6"/>
          </w:tcPr>
          <w:p w:rsidR="00C0527A" w:rsidRDefault="00C0527A" w:rsidP="00AF602B"/>
        </w:tc>
      </w:tr>
      <w:tr w:rsidR="00C0527A" w:rsidTr="00AF602B">
        <w:tc>
          <w:tcPr>
            <w:tcW w:w="0" w:type="auto"/>
            <w:gridSpan w:val="2"/>
            <w:shd w:val="clear" w:color="auto" w:fill="B3B3B3"/>
          </w:tcPr>
          <w:p w:rsidR="00C0527A" w:rsidRDefault="00C0527A" w:rsidP="00AF602B">
            <w:r>
              <w:rPr>
                <w:rFonts w:ascii="Arial Narrow" w:eastAsia="Arial Narrow" w:hAnsi="Arial Narrow" w:cs="Arial Narrow"/>
                <w:b/>
              </w:rPr>
              <w:t>Años solicitados</w:t>
            </w:r>
          </w:p>
        </w:tc>
      </w:tr>
      <w:tr w:rsidR="00C0527A" w:rsidTr="00AF602B">
        <w:tc>
          <w:tcPr>
            <w:tcW w:w="0" w:type="auto"/>
            <w:gridSpan w:val="2"/>
            <w:shd w:val="clear" w:color="auto" w:fill="E6E6E6"/>
          </w:tcPr>
          <w:p w:rsidR="00C0527A" w:rsidRDefault="00C0527A" w:rsidP="00AF602B">
            <w:r>
              <w:rPr>
                <w:rFonts w:ascii="Arial Narrow" w:eastAsia="Arial Narrow" w:hAnsi="Arial Narrow" w:cs="Arial Narrow"/>
              </w:rPr>
              <w:t>2015; 2017; 2018</w:t>
            </w:r>
          </w:p>
        </w:tc>
      </w:tr>
      <w:tr w:rsidR="00C0527A" w:rsidTr="00AF602B">
        <w:tc>
          <w:tcPr>
            <w:tcW w:w="0" w:type="auto"/>
            <w:gridSpan w:val="2"/>
            <w:shd w:val="clear" w:color="auto" w:fill="B3B3B3"/>
          </w:tcPr>
          <w:p w:rsidR="00C0527A" w:rsidRDefault="00C0527A" w:rsidP="00AF602B">
            <w:r>
              <w:rPr>
                <w:rFonts w:ascii="Arial Narrow" w:eastAsia="Arial Narrow" w:hAnsi="Arial Narrow" w:cs="Arial Narrow"/>
                <w:b/>
              </w:rPr>
              <w:t>Desgloses solicitados</w:t>
            </w:r>
          </w:p>
        </w:tc>
      </w:tr>
      <w:tr w:rsidR="00C0527A" w:rsidTr="00AF602B">
        <w:tc>
          <w:tcPr>
            <w:tcW w:w="0" w:type="auto"/>
            <w:gridSpan w:val="2"/>
            <w:shd w:val="clear" w:color="auto" w:fill="E6E6E6"/>
          </w:tcPr>
          <w:p w:rsidR="00C0527A" w:rsidRDefault="00C0527A" w:rsidP="00AF602B">
            <w:proofErr w:type="gramStart"/>
            <w:r>
              <w:rPr>
                <w:rFonts w:ascii="Arial Narrow" w:eastAsia="Arial Narrow" w:hAnsi="Arial Narrow" w:cs="Arial Narrow"/>
              </w:rPr>
              <w:t>Total</w:t>
            </w:r>
            <w:proofErr w:type="gramEnd"/>
            <w:r>
              <w:rPr>
                <w:rFonts w:ascii="Arial Narrow" w:eastAsia="Arial Narrow" w:hAnsi="Arial Narrow" w:cs="Arial Narrow"/>
              </w:rPr>
              <w:t xml:space="preserve"> nacional</w:t>
            </w:r>
          </w:p>
          <w:p w:rsidR="00C0527A" w:rsidRDefault="00C0527A" w:rsidP="00AF602B">
            <w:r>
              <w:rPr>
                <w:rFonts w:ascii="Arial Narrow" w:eastAsia="Arial Narrow" w:hAnsi="Arial Narrow" w:cs="Arial Narrow"/>
              </w:rPr>
              <w:t>Por entidad federativa</w:t>
            </w:r>
          </w:p>
          <w:p w:rsidR="00C0527A" w:rsidRDefault="00C0527A" w:rsidP="00AF602B">
            <w:r>
              <w:rPr>
                <w:rFonts w:ascii="Arial Narrow" w:eastAsia="Arial Narrow" w:hAnsi="Arial Narrow" w:cs="Arial Narrow"/>
              </w:rPr>
              <w:t>Dominios evaluados en las pruebas de PLANEA-SEN: Lenguaje y Comunicación y Matemáticas</w:t>
            </w:r>
          </w:p>
        </w:tc>
      </w:tr>
    </w:tbl>
    <w:p w:rsidR="00C0527A" w:rsidRDefault="00C0527A" w:rsidP="00C0527A"/>
    <w:tbl>
      <w:tblPr>
        <w:tblW w:w="0" w:type="auto"/>
        <w:tblInd w:w="10" w:type="dxa"/>
        <w:tblCellMar>
          <w:left w:w="10" w:type="dxa"/>
          <w:right w:w="10" w:type="dxa"/>
        </w:tblCellMar>
        <w:tblLook w:val="04A0" w:firstRow="1" w:lastRow="0" w:firstColumn="1" w:lastColumn="0" w:noHBand="0" w:noVBand="1"/>
      </w:tblPr>
      <w:tblGrid>
        <w:gridCol w:w="8828"/>
      </w:tblGrid>
      <w:tr w:rsidR="00C0527A" w:rsidTr="00AF602B">
        <w:tc>
          <w:tcPr>
            <w:tcW w:w="0" w:type="auto"/>
            <w:shd w:val="clear" w:color="auto" w:fill="B3B3B3"/>
          </w:tcPr>
          <w:p w:rsidR="00C0527A" w:rsidRDefault="00C0527A" w:rsidP="00AF602B">
            <w:r>
              <w:rPr>
                <w:rFonts w:ascii="Arial Narrow" w:eastAsia="Arial Narrow" w:hAnsi="Arial Narrow" w:cs="Arial Narrow"/>
                <w:b/>
                <w:sz w:val="24"/>
              </w:rPr>
              <w:t>Variable: Porcentaje de estudiantes que obtienen el nivel I de logro educativo (insuficiente) en los dominios evaluados en las pruebas de PLANEA sobre el Sistema Educativo Obligatorio</w:t>
            </w:r>
          </w:p>
        </w:tc>
      </w:tr>
      <w:tr w:rsidR="00C0527A" w:rsidTr="00AF602B">
        <w:tc>
          <w:tcPr>
            <w:tcW w:w="0" w:type="auto"/>
            <w:shd w:val="clear" w:color="auto" w:fill="B3B3B3"/>
          </w:tcPr>
          <w:p w:rsidR="00C0527A" w:rsidRDefault="00C0527A" w:rsidP="00AF602B">
            <w:r>
              <w:rPr>
                <w:rFonts w:ascii="Arial Narrow" w:eastAsia="Arial Narrow" w:hAnsi="Arial Narrow" w:cs="Arial Narrow"/>
                <w:b/>
              </w:rPr>
              <w:t>Origen de datos</w:t>
            </w:r>
          </w:p>
        </w:tc>
      </w:tr>
      <w:tr w:rsidR="00C0527A" w:rsidTr="00AF602B">
        <w:tc>
          <w:tcPr>
            <w:tcW w:w="0" w:type="auto"/>
            <w:shd w:val="clear" w:color="auto" w:fill="E6E6E6"/>
          </w:tcPr>
          <w:p w:rsidR="00C0527A" w:rsidRDefault="00C0527A" w:rsidP="00AF602B">
            <w:r>
              <w:rPr>
                <w:rFonts w:ascii="Arial Narrow" w:eastAsia="Arial Narrow" w:hAnsi="Arial Narrow" w:cs="Arial Narrow"/>
              </w:rPr>
              <w:t>INEE. Resultados Nacionales de PLANEA.</w:t>
            </w:r>
          </w:p>
        </w:tc>
      </w:tr>
      <w:tr w:rsidR="00C0527A" w:rsidTr="00AF602B">
        <w:tc>
          <w:tcPr>
            <w:tcW w:w="0" w:type="auto"/>
            <w:shd w:val="clear" w:color="auto" w:fill="B3B3B3"/>
          </w:tcPr>
          <w:p w:rsidR="00C0527A" w:rsidRDefault="00C0527A" w:rsidP="00AF602B">
            <w:r>
              <w:rPr>
                <w:rFonts w:ascii="Arial Narrow" w:eastAsia="Arial Narrow" w:hAnsi="Arial Narrow" w:cs="Arial Narrow"/>
                <w:b/>
              </w:rPr>
              <w:t>URL</w:t>
            </w:r>
          </w:p>
        </w:tc>
      </w:tr>
      <w:tr w:rsidR="00C0527A" w:rsidTr="00AF602B">
        <w:tc>
          <w:tcPr>
            <w:tcW w:w="0" w:type="auto"/>
            <w:shd w:val="clear" w:color="auto" w:fill="E6E6E6"/>
          </w:tcPr>
          <w:p w:rsidR="00C0527A" w:rsidRDefault="003B5449" w:rsidP="00AF602B">
            <w:hyperlink r:id="rId6">
              <w:r w:rsidR="00C0527A">
                <w:rPr>
                  <w:color w:val="0000FF"/>
                  <w:u w:val="single"/>
                </w:rPr>
                <w:t>https://www.inee.edu.mx/index.php/planea</w:t>
              </w:r>
            </w:hyperlink>
          </w:p>
        </w:tc>
      </w:tr>
      <w:tr w:rsidR="00C0527A" w:rsidTr="00AF602B">
        <w:tc>
          <w:tcPr>
            <w:tcW w:w="0" w:type="auto"/>
            <w:shd w:val="clear" w:color="auto" w:fill="B3B3B3"/>
          </w:tcPr>
          <w:p w:rsidR="00C0527A" w:rsidRDefault="00C0527A" w:rsidP="00AF602B">
            <w:r>
              <w:rPr>
                <w:rFonts w:ascii="Arial Narrow" w:eastAsia="Arial Narrow" w:hAnsi="Arial Narrow" w:cs="Arial Narrow"/>
                <w:b/>
              </w:rPr>
              <w:t>Unidad de medida</w:t>
            </w:r>
          </w:p>
        </w:tc>
      </w:tr>
      <w:tr w:rsidR="00C0527A" w:rsidTr="00AF602B">
        <w:tc>
          <w:tcPr>
            <w:tcW w:w="0" w:type="auto"/>
            <w:shd w:val="clear" w:color="auto" w:fill="E6E6E6"/>
          </w:tcPr>
          <w:p w:rsidR="00C0527A" w:rsidRDefault="00C0527A" w:rsidP="00AF602B">
            <w:r>
              <w:rPr>
                <w:rFonts w:ascii="Arial Narrow" w:eastAsia="Arial Narrow" w:hAnsi="Arial Narrow" w:cs="Arial Narrow"/>
              </w:rPr>
              <w:t>Porcentaje</w:t>
            </w:r>
          </w:p>
        </w:tc>
      </w:tr>
    </w:tbl>
    <w:p w:rsidR="00C0527A" w:rsidRDefault="00C0527A" w:rsidP="00C0527A"/>
    <w:tbl>
      <w:tblPr>
        <w:tblW w:w="0" w:type="auto"/>
        <w:tblInd w:w="10" w:type="dxa"/>
        <w:tblCellMar>
          <w:left w:w="10" w:type="dxa"/>
          <w:right w:w="10" w:type="dxa"/>
        </w:tblCellMar>
        <w:tblLook w:val="04A0" w:firstRow="1" w:lastRow="0" w:firstColumn="1" w:lastColumn="0" w:noHBand="0" w:noVBand="1"/>
      </w:tblPr>
      <w:tblGrid>
        <w:gridCol w:w="8828"/>
      </w:tblGrid>
      <w:tr w:rsidR="00C0527A" w:rsidTr="00AF602B">
        <w:tc>
          <w:tcPr>
            <w:tcW w:w="0" w:type="auto"/>
            <w:shd w:val="clear" w:color="auto" w:fill="B3B3B3"/>
          </w:tcPr>
          <w:p w:rsidR="00C0527A" w:rsidRDefault="00C0527A" w:rsidP="00AF602B">
            <w:r>
              <w:rPr>
                <w:rFonts w:ascii="Arial Narrow" w:eastAsia="Arial Narrow" w:hAnsi="Arial Narrow" w:cs="Arial Narrow"/>
                <w:b/>
                <w:sz w:val="24"/>
              </w:rPr>
              <w:t>Variable: Número estimado de estudiantes en el grado g cuyo puntaje los ubicó en el nivel I de logro educativo en el dominio D</w:t>
            </w:r>
          </w:p>
        </w:tc>
      </w:tr>
      <w:tr w:rsidR="00C0527A" w:rsidTr="00AF602B">
        <w:tc>
          <w:tcPr>
            <w:tcW w:w="0" w:type="auto"/>
            <w:shd w:val="clear" w:color="auto" w:fill="B3B3B3"/>
          </w:tcPr>
          <w:p w:rsidR="00C0527A" w:rsidRDefault="00C0527A" w:rsidP="00AF602B">
            <w:r>
              <w:rPr>
                <w:rFonts w:ascii="Arial Narrow" w:eastAsia="Arial Narrow" w:hAnsi="Arial Narrow" w:cs="Arial Narrow"/>
                <w:b/>
              </w:rPr>
              <w:t>Origen de datos</w:t>
            </w:r>
          </w:p>
        </w:tc>
      </w:tr>
      <w:tr w:rsidR="00C0527A" w:rsidTr="00AF602B">
        <w:tc>
          <w:tcPr>
            <w:tcW w:w="0" w:type="auto"/>
            <w:shd w:val="clear" w:color="auto" w:fill="E6E6E6"/>
          </w:tcPr>
          <w:p w:rsidR="00C0527A" w:rsidRDefault="00C0527A" w:rsidP="00AF602B">
            <w:r>
              <w:rPr>
                <w:rFonts w:ascii="Arial Narrow" w:eastAsia="Arial Narrow" w:hAnsi="Arial Narrow" w:cs="Arial Narrow"/>
              </w:rPr>
              <w:t>INEE. Resultados Nacionales de PLANEA.</w:t>
            </w:r>
          </w:p>
        </w:tc>
      </w:tr>
      <w:tr w:rsidR="00C0527A" w:rsidTr="00AF602B">
        <w:tc>
          <w:tcPr>
            <w:tcW w:w="0" w:type="auto"/>
            <w:shd w:val="clear" w:color="auto" w:fill="B3B3B3"/>
          </w:tcPr>
          <w:p w:rsidR="00C0527A" w:rsidRDefault="00C0527A" w:rsidP="00AF602B">
            <w:r>
              <w:rPr>
                <w:rFonts w:ascii="Arial Narrow" w:eastAsia="Arial Narrow" w:hAnsi="Arial Narrow" w:cs="Arial Narrow"/>
                <w:b/>
              </w:rPr>
              <w:t>URL</w:t>
            </w:r>
          </w:p>
        </w:tc>
      </w:tr>
      <w:tr w:rsidR="00C0527A" w:rsidTr="00AF602B">
        <w:tc>
          <w:tcPr>
            <w:tcW w:w="0" w:type="auto"/>
            <w:shd w:val="clear" w:color="auto" w:fill="E6E6E6"/>
          </w:tcPr>
          <w:p w:rsidR="00C0527A" w:rsidRDefault="003B5449" w:rsidP="00AF602B">
            <w:hyperlink r:id="rId7">
              <w:r w:rsidR="00C0527A">
                <w:rPr>
                  <w:color w:val="0000FF"/>
                  <w:u w:val="single"/>
                </w:rPr>
                <w:t>https://www.inee.edu.mx/index.php/planea</w:t>
              </w:r>
            </w:hyperlink>
          </w:p>
        </w:tc>
      </w:tr>
      <w:tr w:rsidR="00C0527A" w:rsidTr="00AF602B">
        <w:tc>
          <w:tcPr>
            <w:tcW w:w="0" w:type="auto"/>
            <w:shd w:val="clear" w:color="auto" w:fill="B3B3B3"/>
          </w:tcPr>
          <w:p w:rsidR="00C0527A" w:rsidRDefault="00C0527A" w:rsidP="00AF602B">
            <w:r>
              <w:rPr>
                <w:rFonts w:ascii="Arial Narrow" w:eastAsia="Arial Narrow" w:hAnsi="Arial Narrow" w:cs="Arial Narrow"/>
                <w:b/>
              </w:rPr>
              <w:t>Unidad de medida</w:t>
            </w:r>
          </w:p>
        </w:tc>
      </w:tr>
      <w:tr w:rsidR="00C0527A" w:rsidTr="00AF602B">
        <w:tc>
          <w:tcPr>
            <w:tcW w:w="0" w:type="auto"/>
            <w:shd w:val="clear" w:color="auto" w:fill="E6E6E6"/>
          </w:tcPr>
          <w:p w:rsidR="00C0527A" w:rsidRDefault="00C0527A" w:rsidP="00AF602B">
            <w:r>
              <w:rPr>
                <w:rFonts w:ascii="Arial Narrow" w:eastAsia="Arial Narrow" w:hAnsi="Arial Narrow" w:cs="Arial Narrow"/>
              </w:rPr>
              <w:t>Estudiantes</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sidRPr="003B5449">
              <w:rPr>
                <w:rFonts w:ascii="Arial Narrow" w:eastAsia="Arial Narrow" w:hAnsi="Arial Narrow" w:cs="Arial Narrow"/>
              </w:rPr>
              <w:t>Variable: Número estimado de estudiantes en el grado g, evaluados en el dominio D</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sidRPr="003B5449">
              <w:rPr>
                <w:rFonts w:ascii="Arial Narrow" w:eastAsia="Arial Narrow" w:hAnsi="Arial Narrow" w:cs="Arial Narrow"/>
              </w:rPr>
              <w:t>Origen de datos</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Pr>
                <w:rFonts w:ascii="Arial Narrow" w:eastAsia="Arial Narrow" w:hAnsi="Arial Narrow" w:cs="Arial Narrow"/>
              </w:rPr>
              <w:t>INEE. Resultados Nacionales de PLANEA.</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sidRPr="003B5449">
              <w:rPr>
                <w:rFonts w:ascii="Arial Narrow" w:eastAsia="Arial Narrow" w:hAnsi="Arial Narrow" w:cs="Arial Narrow"/>
              </w:rPr>
              <w:lastRenderedPageBreak/>
              <w:t>URL</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hyperlink r:id="rId8">
              <w:r w:rsidRPr="003B5449">
                <w:rPr>
                  <w:rStyle w:val="Hipervnculo"/>
                  <w:rFonts w:ascii="Arial Narrow" w:eastAsia="Arial Narrow" w:hAnsi="Arial Narrow" w:cs="Arial Narrow"/>
                </w:rPr>
                <w:t>https://www.inee.edu.mx/index.php/planea</w:t>
              </w:r>
            </w:hyperlink>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sidRPr="003B5449">
              <w:rPr>
                <w:rFonts w:ascii="Arial Narrow" w:eastAsia="Arial Narrow" w:hAnsi="Arial Narrow" w:cs="Arial Narrow"/>
              </w:rPr>
              <w:t>Unidad de medida</w:t>
            </w:r>
          </w:p>
        </w:tc>
      </w:tr>
      <w:tr w:rsidR="003B5449" w:rsidTr="003B5449">
        <w:tc>
          <w:tcPr>
            <w:tcW w:w="0" w:type="auto"/>
            <w:shd w:val="clear" w:color="auto" w:fill="E6E6E6"/>
          </w:tcPr>
          <w:p w:rsidR="003B5449" w:rsidRPr="003B5449" w:rsidRDefault="003B5449" w:rsidP="00AF602B">
            <w:pPr>
              <w:rPr>
                <w:rFonts w:ascii="Arial Narrow" w:eastAsia="Arial Narrow" w:hAnsi="Arial Narrow" w:cs="Arial Narrow"/>
              </w:rPr>
            </w:pPr>
            <w:r>
              <w:rPr>
                <w:rFonts w:ascii="Arial Narrow" w:eastAsia="Arial Narrow" w:hAnsi="Arial Narrow" w:cs="Arial Narrow"/>
              </w:rPr>
              <w:t>Estudiantes</w:t>
            </w:r>
          </w:p>
        </w:tc>
      </w:tr>
    </w:tbl>
    <w:p w:rsidR="006A3E5A" w:rsidRDefault="006A3E5A" w:rsidP="003B5449">
      <w:bookmarkStart w:id="0" w:name="_GoBack"/>
      <w:bookmarkEnd w:id="0"/>
    </w:p>
    <w:sectPr w:rsidR="006A3E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7A"/>
    <w:rsid w:val="003B5449"/>
    <w:rsid w:val="006A3E5A"/>
    <w:rsid w:val="00C05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4657"/>
  <w15:chartTrackingRefBased/>
  <w15:docId w15:val="{78035264-E3C9-426A-8184-5A344DA0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7A"/>
    <w:pPr>
      <w:spacing w:after="0" w:line="240" w:lineRule="auto"/>
    </w:pPr>
    <w:rPr>
      <w:rFonts w:ascii="Times New Roman" w:eastAsia="Times New Roman" w:hAnsi="Times New Roman" w:cs="Times New Roman"/>
      <w:sz w:val="20"/>
      <w:szCs w:val="20"/>
      <w:lang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5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e.edu.mx/index.php/planea" TargetMode="External"/><Relationship Id="rId3" Type="http://schemas.openxmlformats.org/officeDocument/2006/relationships/webSettings" Target="webSettings.xml"/><Relationship Id="rId7" Type="http://schemas.openxmlformats.org/officeDocument/2006/relationships/hyperlink" Target="https://www.inee.edu.mx/index.php/plan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ee.edu.mx/index.php/plane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Rene Rojas Olmos</dc:creator>
  <cp:keywords/>
  <dc:description/>
  <cp:lastModifiedBy>Raul Rene Rojas Olmos</cp:lastModifiedBy>
  <cp:revision>2</cp:revision>
  <dcterms:created xsi:type="dcterms:W3CDTF">2019-06-12T20:53:00Z</dcterms:created>
  <dcterms:modified xsi:type="dcterms:W3CDTF">2019-06-12T20:55:00Z</dcterms:modified>
</cp:coreProperties>
</file>