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2" w:rsidRDefault="004A04C2" w:rsidP="004A04C2">
      <w:r>
        <w:rPr>
          <w:rFonts w:ascii="Arial Narrow" w:eastAsia="Arial Narrow" w:hAnsi="Arial Narrow" w:cs="Arial Narrow"/>
          <w:b/>
          <w:sz w:val="24"/>
        </w:rPr>
        <w:t>Indicador: Gasto Federal Descentralizado Ejercido en Educación Obligatoria</w:t>
      </w:r>
    </w:p>
    <w:p w:rsidR="004A04C2" w:rsidRDefault="004A04C2" w:rsidP="004A04C2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EfP06</w:t>
      </w:r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Total de aportaciones federales anuales transferidas a las entidades federativas para el desarrollo de acciones en materia de educación obligatoria, incluida la atención a la infraestructura educativa.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E6E6E6"/>
          </w:tcPr>
          <w:p w:rsidR="004A04C2" w:rsidRDefault="004A04C2" w:rsidP="00AF602B">
            <w:r>
              <w:rPr>
                <w:noProof/>
                <w:lang w:val="en-US" w:bidi="ar-SA"/>
              </w:rPr>
              <w:drawing>
                <wp:inline distT="0" distB="0" distL="0" distR="0" wp14:anchorId="4F989DCE" wp14:editId="2CEAC69F">
                  <wp:extent cx="1840000" cy="180000"/>
                  <wp:effectExtent l="0" t="0" r="0" b="0"/>
                  <wp:docPr id="27" name="Drawing 26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E6E6E6"/>
          </w:tcPr>
          <w:p w:rsidR="004A04C2" w:rsidRDefault="004A04C2" w:rsidP="00AF602B">
            <w:r>
              <w:rPr>
                <w:noProof/>
                <w:lang w:val="en-US" w:bidi="ar-SA"/>
              </w:rPr>
              <w:drawing>
                <wp:inline distT="0" distB="0" distL="0" distR="0" wp14:anchorId="45D292FC" wp14:editId="3A5DA37E">
                  <wp:extent cx="5650000" cy="855000"/>
                  <wp:effectExtent l="0" t="0" r="0" b="0"/>
                  <wp:docPr id="28" name="Drawing 27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85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Indicador AR03b del banco de indicadores del INEE http://www.inee.edu.mx/bie_wr/mapa_indica/2010/PanoramaEducativoDeMexico/AR/AR03/2010_AR03__b-vinculo.pdf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Millones de pesos constantes base 2012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2010; 2011; 2012; 2013; 2014; 2015; 2016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4A04C2" w:rsidTr="00AF602B">
        <w:tc>
          <w:tcPr>
            <w:tcW w:w="0" w:type="auto"/>
            <w:gridSpan w:val="2"/>
            <w:shd w:val="clear" w:color="auto" w:fill="E6E6E6"/>
          </w:tcPr>
          <w:p w:rsidR="004A04C2" w:rsidRDefault="004A04C2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</w:tc>
      </w:tr>
    </w:tbl>
    <w:p w:rsidR="004A04C2" w:rsidRDefault="004A04C2" w:rsidP="004A04C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federal descentralizado ejercido para la educación obligatoria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INEE. Banco de indicadores Educativos. Indicador AR03b.2  Gasto federal descentralizado ejercido en educación.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hyperlink r:id="rId6">
              <w:r>
                <w:rPr>
                  <w:color w:val="0000FF"/>
                  <w:u w:val="single"/>
                </w:rPr>
                <w:t>http://www.inee.edu.mx/bie_wr/mapa_indica/2015/PanoramaEducativoDeMexico/AR/AR03/2015_AR03__b.2.pdf</w:t>
              </w:r>
            </w:hyperlink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Millones de pesos constantes base 2012</w:t>
            </w:r>
          </w:p>
        </w:tc>
      </w:tr>
    </w:tbl>
    <w:p w:rsidR="004A04C2" w:rsidRDefault="004A04C2" w:rsidP="004A04C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anual ejercido del Fondo de Aportaciones Múltiples (FAM)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INEE. Banco de indicadores Educativos. Indicador AR03b.2  Gasto federal descentralizado ejercido en educación.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hyperlink r:id="rId7">
              <w:r>
                <w:rPr>
                  <w:color w:val="0000FF"/>
                  <w:u w:val="single"/>
                </w:rPr>
                <w:t>http://www.inee.edu.mx/bie_wr/mapa_indica/2015/PanoramaEducativoDeMexico/AR/AR03/2015_AR03__b.2.pdf</w:t>
              </w:r>
            </w:hyperlink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Millones de pesos constantes base 2012</w:t>
            </w:r>
          </w:p>
        </w:tc>
      </w:tr>
    </w:tbl>
    <w:p w:rsidR="004A04C2" w:rsidRDefault="004A04C2" w:rsidP="004A04C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anual ejercido del Fondo de Aportaciones para la Nómina Educativa y Gasto Operativo (FONE)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INEE. Banco de indicadores Educativos. Indicador AR03b.2  Gasto federal descentralizado ejercido en educación.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hyperlink r:id="rId8">
              <w:r>
                <w:rPr>
                  <w:color w:val="0000FF"/>
                  <w:u w:val="single"/>
                </w:rPr>
                <w:t>http://www.inee.edu.mx/bie_wr/mapa_indica/2015/PanoramaEducativoDeMexico/AR/AR03/2015_AR03__b.2.pdf</w:t>
              </w:r>
            </w:hyperlink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Millones de pesos constantes base 2012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lastRenderedPageBreak/>
              <w:t>En 2015, el Fondo de Aportaciones para la Educación Básica y Normal (FAEB) fue sustituido por el Fondo de Aportaciones para la Nómina Educativa y Gasto Operativo (FONE)</w:t>
            </w:r>
          </w:p>
        </w:tc>
      </w:tr>
    </w:tbl>
    <w:p w:rsidR="004A04C2" w:rsidRDefault="004A04C2" w:rsidP="004A04C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anual ejercido del Fondo para la Educación Tecnológica y de Adultos (FAETA)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INEE. Banco de indicadores Educativos. Indicador AR03b.2  Gasto federal descentralizado ejercido en educación.</w:t>
            </w:r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hyperlink r:id="rId9">
              <w:r>
                <w:rPr>
                  <w:color w:val="0000FF"/>
                  <w:u w:val="single"/>
                </w:rPr>
                <w:t>http://www.inee.edu.mx/bie_wr/mapa_indica/2015/PanoramaEducativoDeMexico/AR/AR03/2015_AR03__b.2.pdf</w:t>
              </w:r>
            </w:hyperlink>
          </w:p>
        </w:tc>
      </w:tr>
      <w:tr w:rsidR="004A04C2" w:rsidTr="00AF602B">
        <w:tc>
          <w:tcPr>
            <w:tcW w:w="0" w:type="auto"/>
            <w:shd w:val="clear" w:color="auto" w:fill="B3B3B3"/>
          </w:tcPr>
          <w:p w:rsidR="004A04C2" w:rsidRDefault="004A04C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4A04C2" w:rsidTr="00AF602B">
        <w:tc>
          <w:tcPr>
            <w:tcW w:w="0" w:type="auto"/>
            <w:shd w:val="clear" w:color="auto" w:fill="E6E6E6"/>
          </w:tcPr>
          <w:p w:rsidR="004A04C2" w:rsidRDefault="004A04C2" w:rsidP="00AF602B">
            <w:r>
              <w:rPr>
                <w:rFonts w:ascii="Arial Narrow" w:eastAsia="Arial Narrow" w:hAnsi="Arial Narrow" w:cs="Arial Narrow"/>
              </w:rPr>
              <w:t>Millones de pesos constantes base 2012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2"/>
    <w:rsid w:val="004A04C2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80226-FF1C-4E59-9A01-71FBD50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_wr/mapa_indica/2015/PanoramaEducativoDeMexico/AR/AR03/2015_AR03__b.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_wr/mapa_indica/2015/PanoramaEducativoDeMexico/AR/AR03/2015_AR03__b.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5/PanoramaEducativoDeMexico/AR/AR03/2015_AR03__b.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ee.edu.mx/bie_wr/mapa_indica/2015/PanoramaEducativoDeMexico/AR/AR03/2015_AR03__b.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2019-06-12T21:05:00Z</dcterms:created>
  <dcterms:modified xsi:type="dcterms:W3CDTF">2019-06-12T21:05:00Z</dcterms:modified>
</cp:coreProperties>
</file>