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0"/>
      </w:tblGrid>
      <w:tr w:rsidR="00507FB4" w:rsidRPr="00B360DF" w14:paraId="29CF7EDC" w14:textId="77777777" w:rsidTr="00AF6E70">
        <w:trPr>
          <w:trHeight w:val="699"/>
          <w:jc w:val="center"/>
        </w:trPr>
        <w:tc>
          <w:tcPr>
            <w:tcW w:w="9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5E91B" w14:textId="78F6EFED" w:rsidR="00507FB4" w:rsidRPr="00B360DF" w:rsidRDefault="00347133" w:rsidP="00AF6E70">
            <w:pPr>
              <w:tabs>
                <w:tab w:val="left" w:pos="0"/>
              </w:tabs>
              <w:rPr>
                <w:rFonts w:cs="Arial"/>
                <w:b/>
                <w:bCs/>
                <w:sz w:val="16"/>
                <w:szCs w:val="16"/>
              </w:rPr>
            </w:pPr>
            <w:r w:rsidRPr="00B360DF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02AC5F45" w14:textId="77777777" w:rsidR="00507FB4" w:rsidRPr="00B360DF" w:rsidRDefault="00507FB4" w:rsidP="00AF6E70">
            <w:pPr>
              <w:rPr>
                <w:rFonts w:cs="Arial"/>
                <w:b/>
                <w:sz w:val="16"/>
                <w:szCs w:val="16"/>
              </w:rPr>
            </w:pPr>
            <w:r w:rsidRPr="00B360DF">
              <w:rPr>
                <w:rFonts w:cs="Arial"/>
                <w:sz w:val="16"/>
                <w:szCs w:val="16"/>
              </w:rPr>
              <w:t>Producto Interno Bruto per cápita</w:t>
            </w:r>
          </w:p>
        </w:tc>
      </w:tr>
      <w:tr w:rsidR="00507FB4" w:rsidRPr="00B360DF" w14:paraId="7865A7DE" w14:textId="77777777" w:rsidTr="00AF6E70">
        <w:trPr>
          <w:trHeight w:val="70"/>
          <w:jc w:val="center"/>
        </w:trPr>
        <w:tc>
          <w:tcPr>
            <w:tcW w:w="9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27885" w14:textId="77777777" w:rsidR="00507FB4" w:rsidRPr="00B360DF" w:rsidRDefault="00347133" w:rsidP="00AF6E70">
            <w:pPr>
              <w:rPr>
                <w:rFonts w:cs="Arial"/>
                <w:b/>
                <w:sz w:val="16"/>
                <w:szCs w:val="16"/>
              </w:rPr>
            </w:pPr>
            <w:r w:rsidRPr="00B360DF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49165271" w14:textId="1808A94C" w:rsidR="00507FB4" w:rsidRPr="00B360DF" w:rsidRDefault="00507FB4" w:rsidP="0005679F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B360DF">
              <w:rPr>
                <w:rFonts w:cs="Arial"/>
                <w:sz w:val="16"/>
                <w:szCs w:val="16"/>
              </w:rPr>
              <w:t>Relación entre el valor total de todos los bienes y servicios finales generados durante un año por la economía de una nación o e</w:t>
            </w:r>
            <w:r w:rsidR="0005679F" w:rsidRPr="00B360DF">
              <w:rPr>
                <w:rFonts w:cs="Arial"/>
                <w:sz w:val="16"/>
                <w:szCs w:val="16"/>
              </w:rPr>
              <w:t xml:space="preserve">ntidad </w:t>
            </w:r>
            <w:r w:rsidRPr="00B360DF">
              <w:rPr>
                <w:rFonts w:cs="Arial"/>
                <w:sz w:val="16"/>
                <w:szCs w:val="16"/>
              </w:rPr>
              <w:t>y el número de sus habitantes en ese año.</w:t>
            </w:r>
          </w:p>
        </w:tc>
      </w:tr>
      <w:tr w:rsidR="00507FB4" w:rsidRPr="00B360DF" w14:paraId="392C15C3" w14:textId="77777777" w:rsidTr="00AF6E70">
        <w:trPr>
          <w:trHeight w:val="1530"/>
          <w:jc w:val="center"/>
        </w:trPr>
        <w:tc>
          <w:tcPr>
            <w:tcW w:w="94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5E249" w14:textId="77777777" w:rsidR="00F44A3C" w:rsidRPr="00B360DF" w:rsidRDefault="00347133" w:rsidP="00AF6E70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B360DF"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0427076E" w14:textId="48B3C4DE" w:rsidR="00507FB4" w:rsidRPr="003F1446" w:rsidRDefault="00764A7D" w:rsidP="00AF6E70">
            <w:pPr>
              <w:ind w:right="-70"/>
              <w:rPr>
                <w:rFonts w:cs="Arial"/>
                <w:i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i/>
                        <w:sz w:val="20"/>
                        <w:szCs w:val="20"/>
                      </w:rPr>
                      <m:t>PIB</m:t>
                    </m:r>
                  </m:num>
                  <m:den>
                    <m:acc>
                      <m:accPr>
                        <m:chr m:val="̅"/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m:rPr>
                            <m:nor/>
                          </m:rPr>
                          <w:rPr>
                            <w:rFonts w:cs="Arial"/>
                            <w:i/>
                            <w:sz w:val="20"/>
                            <w:szCs w:val="20"/>
                          </w:rPr>
                          <m:t>P</m:t>
                        </m:r>
                      </m:e>
                    </m:acc>
                  </m:den>
                </m:f>
              </m:oMath>
            </m:oMathPara>
          </w:p>
          <w:p w14:paraId="6854B2A4" w14:textId="77777777" w:rsidR="00507FB4" w:rsidRPr="00B360DF" w:rsidRDefault="00507FB4" w:rsidP="00AF6E70">
            <w:pPr>
              <w:ind w:right="-70"/>
              <w:rPr>
                <w:rFonts w:cs="Arial"/>
                <w:b/>
                <w:sz w:val="16"/>
                <w:szCs w:val="20"/>
              </w:rPr>
            </w:pPr>
          </w:p>
          <w:p w14:paraId="4AF49A2F" w14:textId="34C7299A" w:rsidR="00507FB4" w:rsidRPr="00B360DF" w:rsidRDefault="00C533B4" w:rsidP="00AF6E70">
            <w:pPr>
              <w:ind w:left="540" w:firstLine="900"/>
              <w:rPr>
                <w:rFonts w:cs="Arial"/>
                <w:sz w:val="16"/>
                <w:szCs w:val="16"/>
              </w:rPr>
            </w:pPr>
            <m:oMath>
              <m:r>
                <m:rPr>
                  <m:nor/>
                </m:rPr>
                <w:rPr>
                  <w:rFonts w:cs="Arial"/>
                  <w:i/>
                  <w:sz w:val="20"/>
                  <w:szCs w:val="20"/>
                </w:rPr>
                <m:t>PIB</m:t>
              </m:r>
            </m:oMath>
            <w:r w:rsidR="003D33C3" w:rsidRPr="00B360DF">
              <w:rPr>
                <w:rFonts w:cs="Arial"/>
                <w:sz w:val="16"/>
                <w:szCs w:val="16"/>
              </w:rPr>
              <w:t xml:space="preserve">     </w:t>
            </w:r>
            <w:r w:rsidR="00507FB4" w:rsidRPr="00B360DF">
              <w:rPr>
                <w:rFonts w:cs="Arial"/>
                <w:sz w:val="16"/>
                <w:szCs w:val="16"/>
              </w:rPr>
              <w:t>Total del Producto Interno Bruto (nacional y por entidad federativa)</w:t>
            </w:r>
            <w:r w:rsidR="008A40EF" w:rsidRPr="00B360DF">
              <w:rPr>
                <w:rFonts w:cs="Arial"/>
                <w:sz w:val="16"/>
                <w:szCs w:val="16"/>
              </w:rPr>
              <w:t>.</w:t>
            </w:r>
            <w:r w:rsidR="00507FB4" w:rsidRPr="00B360DF">
              <w:rPr>
                <w:rFonts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  <w:p w14:paraId="24CBCAB4" w14:textId="58DA0AEE" w:rsidR="00507FB4" w:rsidRPr="00B360DF" w:rsidRDefault="00507FB4" w:rsidP="008F254E">
            <w:pPr>
              <w:rPr>
                <w:rFonts w:cs="Arial"/>
                <w:b/>
                <w:sz w:val="6"/>
                <w:szCs w:val="6"/>
              </w:rPr>
            </w:pPr>
            <w:r w:rsidRPr="00B360DF">
              <w:rPr>
                <w:rFonts w:cs="Arial"/>
                <w:sz w:val="16"/>
                <w:szCs w:val="16"/>
              </w:rPr>
              <w:t xml:space="preserve">                                  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cs="Arial"/>
                      <w:i/>
                      <w:sz w:val="20"/>
                      <w:szCs w:val="20"/>
                    </w:rPr>
                    <m:t>P</m:t>
                  </m:r>
                </m:e>
              </m:acc>
            </m:oMath>
            <w:r w:rsidRPr="00B360DF">
              <w:rPr>
                <w:rFonts w:cs="Arial"/>
                <w:sz w:val="16"/>
                <w:szCs w:val="16"/>
              </w:rPr>
              <w:t xml:space="preserve">        Población estimada a mitad del año (nacional y por entidad federativa).</w:t>
            </w:r>
            <w:r w:rsidRPr="00B360DF">
              <w:rPr>
                <w:rFonts w:cs="Arial"/>
                <w:b/>
                <w:sz w:val="6"/>
                <w:szCs w:val="6"/>
              </w:rPr>
              <w:t xml:space="preserve"> </w:t>
            </w:r>
          </w:p>
        </w:tc>
      </w:tr>
      <w:tr w:rsidR="00507FB4" w:rsidRPr="00B360DF" w14:paraId="4F562D1E" w14:textId="77777777" w:rsidTr="00AF6E70">
        <w:trPr>
          <w:trHeight w:val="184"/>
          <w:jc w:val="center"/>
        </w:trPr>
        <w:tc>
          <w:tcPr>
            <w:tcW w:w="948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BA06C" w14:textId="77777777" w:rsidR="00507FB4" w:rsidRPr="00B360DF" w:rsidRDefault="00507FB4" w:rsidP="00AF6E70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507FB4" w:rsidRPr="00B360DF" w14:paraId="2066E3EA" w14:textId="77777777" w:rsidTr="00AF6E70">
        <w:trPr>
          <w:trHeight w:val="901"/>
          <w:jc w:val="center"/>
        </w:trPr>
        <w:tc>
          <w:tcPr>
            <w:tcW w:w="9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DC8AB" w14:textId="77777777" w:rsidR="00507FB4" w:rsidRPr="00B360DF" w:rsidRDefault="00347133" w:rsidP="00AF6E70">
            <w:pPr>
              <w:rPr>
                <w:rFonts w:cs="Arial"/>
                <w:b/>
                <w:sz w:val="16"/>
                <w:szCs w:val="16"/>
              </w:rPr>
            </w:pPr>
            <w:r w:rsidRPr="00B360DF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03D809C3" w14:textId="3FE22879" w:rsidR="00507FB4" w:rsidRPr="00B360DF" w:rsidRDefault="00507FB4" w:rsidP="00AF6E70">
            <w:pPr>
              <w:jc w:val="both"/>
              <w:rPr>
                <w:rFonts w:cs="Arial"/>
                <w:sz w:val="16"/>
                <w:szCs w:val="16"/>
              </w:rPr>
            </w:pPr>
            <w:r w:rsidRPr="00B360DF">
              <w:rPr>
                <w:rFonts w:cs="Arial"/>
                <w:sz w:val="16"/>
                <w:szCs w:val="16"/>
              </w:rPr>
              <w:t>Representa el valor monetario de todos los bienes y servicios finales generados en el país o entidad federativa que le correspondería a cada habitante en un año dado si esa riqueza se repartiera igualitariamente. En el contexto internacional los países con mayor PIB</w:t>
            </w:r>
            <w:r w:rsidRPr="00B360DF">
              <w:rPr>
                <w:rFonts w:cs="Arial"/>
                <w:sz w:val="16"/>
                <w:szCs w:val="16"/>
                <w:vertAlign w:val="subscript"/>
              </w:rPr>
              <w:t>pc</w:t>
            </w:r>
            <w:r w:rsidR="00276DAA" w:rsidRPr="00B360DF">
              <w:rPr>
                <w:rFonts w:cs="Arial"/>
                <w:sz w:val="16"/>
                <w:szCs w:val="16"/>
                <w:vertAlign w:val="subscript"/>
              </w:rPr>
              <w:t xml:space="preserve">   </w:t>
            </w:r>
            <w:r w:rsidRPr="00B360DF">
              <w:rPr>
                <w:rFonts w:cs="Arial"/>
                <w:sz w:val="16"/>
                <w:szCs w:val="16"/>
                <w:vertAlign w:val="subscript"/>
              </w:rPr>
              <w:t xml:space="preserve"> </w:t>
            </w:r>
            <w:r w:rsidR="00276DAA" w:rsidRPr="00B360DF">
              <w:rPr>
                <w:rFonts w:cs="Arial"/>
                <w:sz w:val="16"/>
                <w:szCs w:val="16"/>
                <w:vertAlign w:val="subscript"/>
              </w:rPr>
              <w:t xml:space="preserve"> </w:t>
            </w:r>
            <w:r w:rsidR="00276DAA" w:rsidRPr="00B360DF">
              <w:rPr>
                <w:rFonts w:cs="Arial"/>
                <w:sz w:val="16"/>
                <w:szCs w:val="16"/>
              </w:rPr>
              <w:t xml:space="preserve">en </w:t>
            </w:r>
            <w:r w:rsidRPr="00B360DF">
              <w:rPr>
                <w:rFonts w:cs="Arial"/>
                <w:sz w:val="16"/>
                <w:szCs w:val="16"/>
              </w:rPr>
              <w:t>general tienen una base material más amplia para impulsar el desarrollo educativo de su población.</w:t>
            </w:r>
          </w:p>
          <w:p w14:paraId="2E0E60A4" w14:textId="7DF0A5E1" w:rsidR="004F4DF8" w:rsidRPr="00B360DF" w:rsidRDefault="004F4DF8" w:rsidP="00AF6E70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789E3F54" w14:textId="623785E4" w:rsidR="004F4DF8" w:rsidRPr="00B360DF" w:rsidRDefault="004F4DF8" w:rsidP="00AF6E70">
            <w:pPr>
              <w:jc w:val="both"/>
              <w:rPr>
                <w:rFonts w:cs="Arial"/>
                <w:sz w:val="16"/>
                <w:szCs w:val="16"/>
              </w:rPr>
            </w:pPr>
            <w:r w:rsidRPr="00B360DF">
              <w:rPr>
                <w:rFonts w:cs="Arial"/>
                <w:bCs/>
                <w:sz w:val="16"/>
                <w:szCs w:val="16"/>
              </w:rPr>
              <w:t>Para presentar el PIB</w:t>
            </w:r>
            <w:r w:rsidRPr="00B360DF">
              <w:rPr>
                <w:rFonts w:cs="Arial"/>
                <w:bCs/>
                <w:sz w:val="16"/>
                <w:szCs w:val="16"/>
                <w:vertAlign w:val="subscript"/>
              </w:rPr>
              <w:t>pc</w:t>
            </w:r>
            <w:r w:rsidRPr="00B360DF">
              <w:rPr>
                <w:rFonts w:cs="Arial"/>
                <w:bCs/>
                <w:sz w:val="16"/>
                <w:szCs w:val="16"/>
              </w:rPr>
              <w:t xml:space="preserve"> de un año específico</w:t>
            </w:r>
            <w:r w:rsidR="008F254E" w:rsidRPr="00B360DF">
              <w:rPr>
                <w:rFonts w:cs="Arial"/>
                <w:bCs/>
                <w:sz w:val="16"/>
                <w:szCs w:val="16"/>
              </w:rPr>
              <w:t>,</w:t>
            </w:r>
            <w:r w:rsidRPr="00B360DF">
              <w:rPr>
                <w:rFonts w:cs="Arial"/>
                <w:bCs/>
                <w:sz w:val="16"/>
                <w:szCs w:val="16"/>
              </w:rPr>
              <w:t xml:space="preserve"> éste se suele expresar en pesos a precios corrientes</w:t>
            </w:r>
            <w:r w:rsidR="008C2070">
              <w:rPr>
                <w:rFonts w:cs="Arial"/>
                <w:bCs/>
                <w:sz w:val="16"/>
                <w:szCs w:val="16"/>
              </w:rPr>
              <w:t>,</w:t>
            </w:r>
            <w:r w:rsidRPr="00B360DF">
              <w:rPr>
                <w:rFonts w:cs="Arial"/>
                <w:bCs/>
                <w:sz w:val="16"/>
                <w:szCs w:val="16"/>
              </w:rPr>
              <w:t xml:space="preserve"> sin embargo, cuando se desea comparar el PIB</w:t>
            </w:r>
            <w:r w:rsidRPr="00B360DF">
              <w:rPr>
                <w:rFonts w:cs="Arial"/>
                <w:bCs/>
                <w:sz w:val="16"/>
                <w:szCs w:val="16"/>
                <w:vertAlign w:val="subscript"/>
              </w:rPr>
              <w:t>pc</w:t>
            </w:r>
            <w:r w:rsidRPr="00B360DF">
              <w:rPr>
                <w:rFonts w:cs="Arial"/>
                <w:bCs/>
                <w:sz w:val="16"/>
                <w:szCs w:val="16"/>
              </w:rPr>
              <w:t xml:space="preserve"> de varios años</w:t>
            </w:r>
            <w:r w:rsidR="00AC7FD0" w:rsidRPr="00B360DF">
              <w:rPr>
                <w:rFonts w:cs="Arial"/>
                <w:bCs/>
                <w:sz w:val="16"/>
                <w:szCs w:val="16"/>
              </w:rPr>
              <w:t>,</w:t>
            </w:r>
            <w:r w:rsidRPr="00B360DF">
              <w:rPr>
                <w:rFonts w:cs="Arial"/>
                <w:bCs/>
                <w:sz w:val="16"/>
                <w:szCs w:val="16"/>
              </w:rPr>
              <w:t xml:space="preserve"> es necesario expresarlo en pesos a precios de un año base</w:t>
            </w:r>
            <w:r w:rsidR="00AC7FD0" w:rsidRPr="00B360DF">
              <w:rPr>
                <w:rFonts w:cs="Arial"/>
                <w:bCs/>
                <w:sz w:val="16"/>
                <w:szCs w:val="16"/>
              </w:rPr>
              <w:t>.</w:t>
            </w:r>
            <w:r w:rsidR="000347B0" w:rsidRPr="00B360DF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AC7FD0" w:rsidRPr="00B360DF">
              <w:rPr>
                <w:rFonts w:cs="Arial"/>
                <w:bCs/>
                <w:sz w:val="16"/>
                <w:szCs w:val="16"/>
              </w:rPr>
              <w:t>P</w:t>
            </w:r>
            <w:r w:rsidR="000347B0" w:rsidRPr="00B360DF">
              <w:rPr>
                <w:rFonts w:cs="Arial"/>
                <w:bCs/>
                <w:sz w:val="16"/>
                <w:szCs w:val="16"/>
              </w:rPr>
              <w:t xml:space="preserve">or otro lado, para </w:t>
            </w:r>
            <w:r w:rsidR="006B1CD0" w:rsidRPr="00B360DF">
              <w:rPr>
                <w:rFonts w:cs="Arial"/>
                <w:bCs/>
                <w:sz w:val="16"/>
                <w:szCs w:val="16"/>
              </w:rPr>
              <w:t>comparar</w:t>
            </w:r>
            <w:r w:rsidR="000347B0" w:rsidRPr="00B360DF">
              <w:rPr>
                <w:rFonts w:cs="Arial"/>
                <w:bCs/>
                <w:sz w:val="16"/>
                <w:szCs w:val="16"/>
              </w:rPr>
              <w:t xml:space="preserve"> el PIB</w:t>
            </w:r>
            <w:r w:rsidR="000347B0" w:rsidRPr="00B360DF">
              <w:rPr>
                <w:rFonts w:cs="Arial"/>
                <w:bCs/>
                <w:sz w:val="16"/>
                <w:szCs w:val="16"/>
                <w:vertAlign w:val="subscript"/>
              </w:rPr>
              <w:t>pc</w:t>
            </w:r>
            <w:r w:rsidR="006B1CD0" w:rsidRPr="00B360DF">
              <w:rPr>
                <w:rFonts w:cs="Arial"/>
                <w:bCs/>
                <w:sz w:val="16"/>
                <w:szCs w:val="16"/>
              </w:rPr>
              <w:t xml:space="preserve"> de diversos países</w:t>
            </w:r>
            <w:r w:rsidR="00AC7FD0" w:rsidRPr="00B360DF">
              <w:rPr>
                <w:rFonts w:cs="Arial"/>
                <w:bCs/>
                <w:sz w:val="16"/>
                <w:szCs w:val="16"/>
              </w:rPr>
              <w:t>,</w:t>
            </w:r>
            <w:r w:rsidR="000347B0" w:rsidRPr="00B360DF">
              <w:rPr>
                <w:rFonts w:cs="Arial"/>
                <w:bCs/>
                <w:sz w:val="16"/>
                <w:szCs w:val="16"/>
              </w:rPr>
              <w:t xml:space="preserve"> éste generalmente se expresa en</w:t>
            </w:r>
            <w:r w:rsidRPr="00B360DF">
              <w:rPr>
                <w:rFonts w:cs="Arial"/>
                <w:bCs/>
                <w:sz w:val="16"/>
                <w:szCs w:val="16"/>
              </w:rPr>
              <w:t xml:space="preserve"> dólares de Paridad de Poder Adquisitivo (PPA)</w:t>
            </w:r>
            <w:r w:rsidR="000347B0" w:rsidRPr="00B360DF">
              <w:rPr>
                <w:rFonts w:cs="Arial"/>
                <w:bCs/>
                <w:sz w:val="16"/>
                <w:szCs w:val="16"/>
              </w:rPr>
              <w:t xml:space="preserve"> (ver</w:t>
            </w:r>
            <w:r w:rsidR="00AC7FD0" w:rsidRPr="00B360DF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4335E1">
              <w:rPr>
                <w:rFonts w:cs="Arial"/>
                <w:bCs/>
                <w:sz w:val="16"/>
                <w:szCs w:val="16"/>
              </w:rPr>
              <w:t xml:space="preserve">la </w:t>
            </w:r>
            <w:r w:rsidR="000347B0" w:rsidRPr="00B360DF">
              <w:rPr>
                <w:rFonts w:cs="Arial"/>
                <w:bCs/>
                <w:sz w:val="16"/>
                <w:szCs w:val="16"/>
              </w:rPr>
              <w:t>nota técnica CS04</w:t>
            </w:r>
            <w:r w:rsidR="00271326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4335E1">
              <w:rPr>
                <w:rFonts w:cs="Arial"/>
                <w:bCs/>
                <w:sz w:val="16"/>
                <w:szCs w:val="16"/>
              </w:rPr>
              <w:t>en</w:t>
            </w:r>
            <w:r w:rsidR="00271326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71326" w:rsidRPr="00A60A94">
              <w:rPr>
                <w:rFonts w:cs="Arial"/>
                <w:bCs/>
                <w:i/>
                <w:sz w:val="16"/>
                <w:szCs w:val="16"/>
              </w:rPr>
              <w:t>Panorama Educativo de México 2017</w:t>
            </w:r>
            <w:r w:rsidR="00271326">
              <w:rPr>
                <w:rFonts w:cs="Arial"/>
                <w:bCs/>
                <w:sz w:val="16"/>
                <w:szCs w:val="16"/>
              </w:rPr>
              <w:t xml:space="preserve"> (INEE, 2018b, p.</w:t>
            </w:r>
            <w:r w:rsidR="00D44400">
              <w:rPr>
                <w:rFonts w:cs="Arial"/>
                <w:bCs/>
                <w:sz w:val="16"/>
                <w:szCs w:val="16"/>
              </w:rPr>
              <w:t xml:space="preserve"> 163</w:t>
            </w:r>
            <w:r w:rsidR="004335E1">
              <w:rPr>
                <w:rFonts w:cs="Arial"/>
                <w:bCs/>
                <w:sz w:val="16"/>
                <w:szCs w:val="16"/>
              </w:rPr>
              <w:t>)</w:t>
            </w:r>
            <w:r w:rsidR="000347B0" w:rsidRPr="00B360DF">
              <w:rPr>
                <w:rFonts w:cs="Arial"/>
                <w:bCs/>
                <w:sz w:val="16"/>
                <w:szCs w:val="16"/>
              </w:rPr>
              <w:t>)</w:t>
            </w:r>
            <w:r w:rsidRPr="00B360DF">
              <w:rPr>
                <w:rFonts w:cs="Arial"/>
                <w:bCs/>
                <w:sz w:val="16"/>
                <w:szCs w:val="16"/>
              </w:rPr>
              <w:t>.</w:t>
            </w:r>
          </w:p>
          <w:p w14:paraId="11FB35D0" w14:textId="77777777" w:rsidR="00DC6A01" w:rsidRPr="00B360DF" w:rsidRDefault="00DC6A01" w:rsidP="00AF6E70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6D4C3A56" w14:textId="1CA5F552" w:rsidR="00507FB4" w:rsidRPr="00B360DF" w:rsidRDefault="00507FB4" w:rsidP="00447478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B360DF">
              <w:rPr>
                <w:rFonts w:cs="Arial"/>
                <w:sz w:val="16"/>
                <w:szCs w:val="16"/>
              </w:rPr>
              <w:t xml:space="preserve">Dado que este indicador resulta de dividir el </w:t>
            </w:r>
            <w:r w:rsidR="00AB387A" w:rsidRPr="00B360DF">
              <w:rPr>
                <w:rFonts w:cs="Arial"/>
                <w:sz w:val="16"/>
                <w:szCs w:val="16"/>
              </w:rPr>
              <w:t>PIB</w:t>
            </w:r>
            <w:r w:rsidR="00DC6A01" w:rsidRPr="00B360DF">
              <w:rPr>
                <w:rFonts w:cs="Arial"/>
                <w:sz w:val="16"/>
                <w:szCs w:val="16"/>
              </w:rPr>
              <w:t xml:space="preserve"> </w:t>
            </w:r>
            <w:r w:rsidRPr="00B360DF">
              <w:rPr>
                <w:rFonts w:cs="Arial"/>
                <w:sz w:val="16"/>
                <w:szCs w:val="16"/>
              </w:rPr>
              <w:t xml:space="preserve">entre la población total estimada a mitad de año, cuando el </w:t>
            </w:r>
            <w:r w:rsidR="00AB387A" w:rsidRPr="00B360DF">
              <w:rPr>
                <w:rFonts w:cs="Arial"/>
                <w:sz w:val="16"/>
                <w:szCs w:val="16"/>
              </w:rPr>
              <w:t>PIB</w:t>
            </w:r>
            <w:r w:rsidRPr="00B360DF">
              <w:rPr>
                <w:rFonts w:cs="Arial"/>
                <w:sz w:val="16"/>
                <w:szCs w:val="16"/>
              </w:rPr>
              <w:t xml:space="preserve"> se incrementa mientras permanece constante la población, el PIB</w:t>
            </w:r>
            <w:r w:rsidRPr="00B360DF">
              <w:rPr>
                <w:rFonts w:cs="Arial"/>
                <w:sz w:val="16"/>
                <w:szCs w:val="16"/>
                <w:vertAlign w:val="subscript"/>
              </w:rPr>
              <w:t xml:space="preserve">pc </w:t>
            </w:r>
            <w:r w:rsidRPr="00B360DF">
              <w:rPr>
                <w:rFonts w:cs="Arial"/>
                <w:sz w:val="16"/>
                <w:szCs w:val="16"/>
              </w:rPr>
              <w:t>se eleva; en cambio, si la población aumenta mientras el PIB permanece constante, el PIB</w:t>
            </w:r>
            <w:r w:rsidRPr="00B360DF">
              <w:rPr>
                <w:rFonts w:cs="Arial"/>
                <w:sz w:val="16"/>
                <w:szCs w:val="16"/>
                <w:vertAlign w:val="subscript"/>
              </w:rPr>
              <w:t xml:space="preserve">pc </w:t>
            </w:r>
            <w:r w:rsidRPr="00B360DF">
              <w:rPr>
                <w:rFonts w:cs="Arial"/>
                <w:sz w:val="16"/>
                <w:szCs w:val="16"/>
              </w:rPr>
              <w:t>disminuye. Así, el PIB</w:t>
            </w:r>
            <w:r w:rsidRPr="00B360DF">
              <w:rPr>
                <w:rFonts w:cs="Arial"/>
                <w:sz w:val="16"/>
                <w:szCs w:val="16"/>
                <w:vertAlign w:val="subscript"/>
              </w:rPr>
              <w:t>pc</w:t>
            </w:r>
            <w:r w:rsidRPr="00B360DF">
              <w:rPr>
                <w:rFonts w:cs="Arial"/>
                <w:sz w:val="16"/>
                <w:szCs w:val="16"/>
              </w:rPr>
              <w:t xml:space="preserve"> aumentar</w:t>
            </w:r>
            <w:r w:rsidR="00447478" w:rsidRPr="00B360DF">
              <w:rPr>
                <w:rFonts w:cs="Arial"/>
                <w:sz w:val="16"/>
                <w:szCs w:val="16"/>
              </w:rPr>
              <w:t>á</w:t>
            </w:r>
            <w:r w:rsidRPr="00B360DF">
              <w:rPr>
                <w:rFonts w:cs="Arial"/>
                <w:sz w:val="16"/>
                <w:szCs w:val="16"/>
              </w:rPr>
              <w:t xml:space="preserve"> cuando la tasa de crecimiento del PIB </w:t>
            </w:r>
            <w:r w:rsidR="00447478" w:rsidRPr="00B360DF">
              <w:rPr>
                <w:rFonts w:cs="Arial"/>
                <w:sz w:val="16"/>
                <w:szCs w:val="16"/>
              </w:rPr>
              <w:t>sea</w:t>
            </w:r>
            <w:r w:rsidRPr="00B360DF">
              <w:rPr>
                <w:rFonts w:cs="Arial"/>
                <w:sz w:val="16"/>
                <w:szCs w:val="16"/>
              </w:rPr>
              <w:t xml:space="preserve"> mayor que la tasa de</w:t>
            </w:r>
            <w:r w:rsidR="003E3A85" w:rsidRPr="00B360DF">
              <w:rPr>
                <w:rFonts w:cs="Arial"/>
                <w:sz w:val="16"/>
                <w:szCs w:val="16"/>
              </w:rPr>
              <w:t xml:space="preserve"> crecimiento de la población.  </w:t>
            </w:r>
          </w:p>
        </w:tc>
      </w:tr>
      <w:tr w:rsidR="00507FB4" w:rsidRPr="00B360DF" w14:paraId="776C3144" w14:textId="77777777" w:rsidTr="00AF6E70">
        <w:trPr>
          <w:trHeight w:val="786"/>
          <w:jc w:val="center"/>
        </w:trPr>
        <w:tc>
          <w:tcPr>
            <w:tcW w:w="9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2466D" w14:textId="77777777" w:rsidR="003E3A85" w:rsidRPr="00B360DF" w:rsidRDefault="003E3A85" w:rsidP="00AF6E70">
            <w:pPr>
              <w:rPr>
                <w:rFonts w:cs="Arial"/>
                <w:b/>
                <w:sz w:val="16"/>
                <w:szCs w:val="16"/>
              </w:rPr>
            </w:pPr>
            <w:r w:rsidRPr="00B360DF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579482D6" w14:textId="11A8494C" w:rsidR="00507FB4" w:rsidRPr="00B360DF" w:rsidRDefault="007307CA" w:rsidP="007B45A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B360DF">
              <w:rPr>
                <w:rFonts w:cs="Arial"/>
                <w:sz w:val="16"/>
                <w:szCs w:val="16"/>
                <w:lang w:val="es-MX"/>
              </w:rPr>
              <w:t xml:space="preserve">En el ámbito </w:t>
            </w:r>
            <w:r w:rsidR="00507FB4" w:rsidRPr="00B360DF">
              <w:rPr>
                <w:rFonts w:cs="Arial"/>
                <w:sz w:val="16"/>
                <w:szCs w:val="16"/>
                <w:lang w:val="es-MX"/>
              </w:rPr>
              <w:t>internacional</w:t>
            </w:r>
            <w:r w:rsidRPr="00B360DF">
              <w:rPr>
                <w:rFonts w:cs="Arial"/>
                <w:sz w:val="16"/>
                <w:szCs w:val="16"/>
                <w:lang w:val="es-MX"/>
              </w:rPr>
              <w:t xml:space="preserve"> se utiliza</w:t>
            </w:r>
            <w:r w:rsidR="00507FB4" w:rsidRPr="00B360DF">
              <w:rPr>
                <w:rFonts w:cs="Arial"/>
                <w:sz w:val="16"/>
                <w:szCs w:val="16"/>
                <w:lang w:val="es-MX"/>
              </w:rPr>
              <w:t xml:space="preserve"> para expresar el potencial económico de los países</w:t>
            </w:r>
            <w:r w:rsidR="00813D3A" w:rsidRPr="00B360DF">
              <w:rPr>
                <w:rFonts w:cs="Arial"/>
                <w:sz w:val="16"/>
                <w:szCs w:val="16"/>
                <w:lang w:val="es-MX"/>
              </w:rPr>
              <w:t>. P</w:t>
            </w:r>
            <w:r w:rsidR="00507FB4" w:rsidRPr="00B360DF">
              <w:rPr>
                <w:rFonts w:cs="Arial"/>
                <w:sz w:val="16"/>
                <w:szCs w:val="16"/>
                <w:lang w:val="es-MX"/>
              </w:rPr>
              <w:t xml:space="preserve">or lo </w:t>
            </w:r>
            <w:r w:rsidR="009053F6" w:rsidRPr="00B360DF">
              <w:rPr>
                <w:rFonts w:cs="Arial"/>
                <w:sz w:val="16"/>
                <w:szCs w:val="16"/>
                <w:lang w:val="es-MX"/>
              </w:rPr>
              <w:t>tanto</w:t>
            </w:r>
            <w:r w:rsidR="00813D3A" w:rsidRPr="00B360DF">
              <w:rPr>
                <w:rFonts w:cs="Arial"/>
                <w:sz w:val="16"/>
                <w:szCs w:val="16"/>
                <w:lang w:val="es-MX"/>
              </w:rPr>
              <w:t>,</w:t>
            </w:r>
            <w:r w:rsidR="00507FB4" w:rsidRPr="00B360DF">
              <w:rPr>
                <w:rFonts w:cs="Arial"/>
                <w:sz w:val="16"/>
                <w:szCs w:val="16"/>
                <w:lang w:val="es-MX"/>
              </w:rPr>
              <w:t xml:space="preserve"> da idea de sus capacidades relativas para destinar recursos a la educación. Debido a que </w:t>
            </w:r>
            <w:r w:rsidR="00132B57" w:rsidRPr="00B360DF">
              <w:rPr>
                <w:rFonts w:cs="Arial"/>
                <w:sz w:val="16"/>
                <w:szCs w:val="16"/>
                <w:lang w:val="es-MX"/>
              </w:rPr>
              <w:t xml:space="preserve">generalmente </w:t>
            </w:r>
            <w:r w:rsidR="00507FB4" w:rsidRPr="00B360DF">
              <w:rPr>
                <w:rFonts w:cs="Arial"/>
                <w:sz w:val="16"/>
                <w:szCs w:val="16"/>
                <w:lang w:val="es-MX"/>
              </w:rPr>
              <w:t>el estándar de vida tiende a incrementarse a medida que el PIB</w:t>
            </w:r>
            <w:r w:rsidR="00AB387A" w:rsidRPr="00B360DF">
              <w:rPr>
                <w:rFonts w:cs="Arial"/>
                <w:sz w:val="16"/>
                <w:szCs w:val="16"/>
                <w:vertAlign w:val="subscript"/>
                <w:lang w:val="es-MX"/>
              </w:rPr>
              <w:t>pc</w:t>
            </w:r>
            <w:r w:rsidR="00507FB4" w:rsidRPr="00B360DF">
              <w:rPr>
                <w:rFonts w:cs="Arial"/>
                <w:sz w:val="16"/>
                <w:szCs w:val="16"/>
                <w:lang w:val="es-MX"/>
              </w:rPr>
              <w:t xml:space="preserve"> aumenta, éste se utiliza como una medida indirecta de la calidad de vida de la población en una economía.</w:t>
            </w:r>
          </w:p>
        </w:tc>
      </w:tr>
      <w:tr w:rsidR="00507FB4" w:rsidRPr="00B360DF" w14:paraId="1E741A84" w14:textId="77777777" w:rsidTr="00AF6E70">
        <w:trPr>
          <w:trHeight w:val="901"/>
          <w:jc w:val="center"/>
        </w:trPr>
        <w:tc>
          <w:tcPr>
            <w:tcW w:w="9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B02A1" w14:textId="77777777" w:rsidR="00FF7468" w:rsidRPr="00B360DF" w:rsidRDefault="00347133" w:rsidP="00AF6E70">
            <w:pPr>
              <w:rPr>
                <w:rFonts w:cs="Arial"/>
                <w:b/>
                <w:sz w:val="16"/>
                <w:szCs w:val="16"/>
              </w:rPr>
            </w:pPr>
            <w:r w:rsidRPr="00B360DF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179096F5" w14:textId="1910A172" w:rsidR="00507FB4" w:rsidRPr="00B360DF" w:rsidRDefault="00813D3A" w:rsidP="00AF6E70">
            <w:pPr>
              <w:rPr>
                <w:rFonts w:cs="Arial"/>
                <w:sz w:val="16"/>
                <w:szCs w:val="16"/>
              </w:rPr>
            </w:pPr>
            <w:r w:rsidRPr="00B360DF">
              <w:rPr>
                <w:rFonts w:cs="Arial"/>
                <w:sz w:val="16"/>
                <w:szCs w:val="16"/>
              </w:rPr>
              <w:t>E</w:t>
            </w:r>
            <w:r w:rsidR="004F4DF8" w:rsidRPr="00B360DF">
              <w:rPr>
                <w:rFonts w:cs="Arial"/>
                <w:sz w:val="16"/>
                <w:szCs w:val="16"/>
              </w:rPr>
              <w:t>ntidad federativa</w:t>
            </w:r>
          </w:p>
          <w:p w14:paraId="7689DAC7" w14:textId="77777777" w:rsidR="00A26609" w:rsidRPr="00B360DF" w:rsidRDefault="00A26609" w:rsidP="00AF6E70">
            <w:pPr>
              <w:rPr>
                <w:rFonts w:cs="Arial"/>
                <w:color w:val="FF0000"/>
                <w:sz w:val="16"/>
                <w:szCs w:val="16"/>
              </w:rPr>
            </w:pPr>
          </w:p>
          <w:p w14:paraId="4D3DD0EE" w14:textId="23E07FB0" w:rsidR="007307CA" w:rsidRPr="00B360DF" w:rsidRDefault="00A26609" w:rsidP="00376315">
            <w:pPr>
              <w:rPr>
                <w:rFonts w:cs="Arial"/>
                <w:b/>
                <w:sz w:val="16"/>
                <w:szCs w:val="16"/>
              </w:rPr>
            </w:pPr>
            <w:r w:rsidRPr="00B360DF">
              <w:rPr>
                <w:rFonts w:cs="Arial"/>
                <w:b/>
                <w:sz w:val="16"/>
                <w:szCs w:val="16"/>
              </w:rPr>
              <w:t>Máximo nivel de desagregación</w:t>
            </w:r>
          </w:p>
          <w:p w14:paraId="34EDED69" w14:textId="22F0896F" w:rsidR="00A26609" w:rsidRPr="00B360DF" w:rsidRDefault="00A26609" w:rsidP="00376315">
            <w:pPr>
              <w:rPr>
                <w:rFonts w:cs="Arial"/>
                <w:sz w:val="16"/>
                <w:szCs w:val="16"/>
              </w:rPr>
            </w:pPr>
            <w:r w:rsidRPr="00B360DF">
              <w:rPr>
                <w:rFonts w:cs="Arial"/>
                <w:sz w:val="16"/>
                <w:szCs w:val="16"/>
              </w:rPr>
              <w:t>Entidad federativa</w:t>
            </w:r>
          </w:p>
          <w:p w14:paraId="4F1FFAE3" w14:textId="77777777" w:rsidR="00A26609" w:rsidRPr="00B360DF" w:rsidRDefault="00A26609" w:rsidP="00AF6E70">
            <w:pPr>
              <w:rPr>
                <w:rFonts w:cs="Arial"/>
                <w:b/>
                <w:sz w:val="16"/>
                <w:szCs w:val="16"/>
              </w:rPr>
            </w:pPr>
          </w:p>
          <w:p w14:paraId="20FBFEE3" w14:textId="77777777" w:rsidR="00507FB4" w:rsidRPr="00B360DF" w:rsidRDefault="00507FB4" w:rsidP="00AF6E70">
            <w:pPr>
              <w:spacing w:before="120" w:after="60"/>
              <w:ind w:right="108"/>
              <w:rPr>
                <w:rFonts w:cs="Arial"/>
                <w:b/>
                <w:sz w:val="16"/>
                <w:szCs w:val="16"/>
              </w:rPr>
            </w:pPr>
            <w:r w:rsidRPr="00B360DF">
              <w:rPr>
                <w:rFonts w:cs="Arial"/>
                <w:b/>
                <w:sz w:val="16"/>
                <w:szCs w:val="16"/>
              </w:rPr>
              <w:t>Fuente</w:t>
            </w:r>
            <w:r w:rsidR="008D22A6" w:rsidRPr="00B360DF">
              <w:rPr>
                <w:rFonts w:cs="Arial"/>
                <w:b/>
                <w:sz w:val="16"/>
                <w:szCs w:val="16"/>
              </w:rPr>
              <w:t>s</w:t>
            </w:r>
            <w:r w:rsidR="00C45699" w:rsidRPr="00B360DF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7E6E01AF" w14:textId="51E0DAFD" w:rsidR="008D22A6" w:rsidRPr="00933F76" w:rsidRDefault="007307CA" w:rsidP="00AF6E70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  <w:proofErr w:type="spellStart"/>
            <w:r w:rsidRPr="008C2070">
              <w:rPr>
                <w:rFonts w:cs="Arial"/>
                <w:smallCaps/>
                <w:sz w:val="16"/>
                <w:szCs w:val="16"/>
              </w:rPr>
              <w:t>Conapo</w:t>
            </w:r>
            <w:proofErr w:type="spellEnd"/>
            <w:r w:rsidRPr="008C2070">
              <w:rPr>
                <w:rFonts w:cs="Arial"/>
                <w:sz w:val="16"/>
                <w:szCs w:val="16"/>
              </w:rPr>
              <w:t xml:space="preserve"> </w:t>
            </w:r>
            <w:r w:rsidR="00AF5ADA" w:rsidRPr="008C2070">
              <w:rPr>
                <w:rFonts w:cs="Arial"/>
                <w:sz w:val="16"/>
                <w:szCs w:val="16"/>
              </w:rPr>
              <w:t>(201</w:t>
            </w:r>
            <w:r w:rsidR="009165E6" w:rsidRPr="008C2070">
              <w:rPr>
                <w:rFonts w:cs="Arial"/>
                <w:sz w:val="16"/>
                <w:szCs w:val="16"/>
              </w:rPr>
              <w:t>8</w:t>
            </w:r>
            <w:r w:rsidR="00F03A41" w:rsidRPr="002F0204">
              <w:rPr>
                <w:rFonts w:cs="Arial"/>
                <w:sz w:val="16"/>
                <w:szCs w:val="16"/>
              </w:rPr>
              <w:t>)</w:t>
            </w:r>
            <w:r w:rsidR="007D404E" w:rsidRPr="008C2070">
              <w:rPr>
                <w:rFonts w:cs="Arial"/>
                <w:sz w:val="16"/>
                <w:szCs w:val="16"/>
              </w:rPr>
              <w:t>.</w:t>
            </w:r>
            <w:r w:rsidR="00F03A41" w:rsidRPr="008C2070">
              <w:rPr>
                <w:rFonts w:cs="Arial"/>
                <w:sz w:val="16"/>
                <w:szCs w:val="16"/>
              </w:rPr>
              <w:t xml:space="preserve"> </w:t>
            </w:r>
            <w:r w:rsidR="00933F76" w:rsidRPr="00A60A94">
              <w:rPr>
                <w:sz w:val="16"/>
                <w:szCs w:val="16"/>
              </w:rPr>
              <w:t>Proyecciones de la Población de México y de las Entidades Federativas 2016-2050</w:t>
            </w:r>
            <w:r w:rsidR="00F03A41" w:rsidRPr="00933F76">
              <w:rPr>
                <w:rFonts w:cs="Arial"/>
                <w:sz w:val="16"/>
                <w:szCs w:val="16"/>
              </w:rPr>
              <w:t>.</w:t>
            </w:r>
          </w:p>
          <w:p w14:paraId="4A570B98" w14:textId="46B50C61" w:rsidR="00F03A41" w:rsidRPr="008C2070" w:rsidRDefault="007D404E" w:rsidP="00AF6E70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  <w:proofErr w:type="spellStart"/>
            <w:r w:rsidRPr="008C2070">
              <w:rPr>
                <w:rFonts w:cs="Arial"/>
                <w:smallCaps/>
                <w:sz w:val="16"/>
                <w:szCs w:val="16"/>
                <w:lang w:val="es-MX"/>
              </w:rPr>
              <w:t>I</w:t>
            </w:r>
            <w:r w:rsidR="007307CA" w:rsidRPr="008C2070">
              <w:rPr>
                <w:rFonts w:cs="Arial"/>
                <w:smallCaps/>
                <w:sz w:val="16"/>
                <w:szCs w:val="16"/>
                <w:lang w:val="es-MX"/>
              </w:rPr>
              <w:t>negi</w:t>
            </w:r>
            <w:proofErr w:type="spellEnd"/>
            <w:r w:rsidR="00AF5ADA" w:rsidRPr="002F0204">
              <w:rPr>
                <w:rFonts w:cs="Arial"/>
                <w:sz w:val="16"/>
                <w:szCs w:val="16"/>
                <w:lang w:val="es-MX"/>
              </w:rPr>
              <w:t xml:space="preserve"> (201</w:t>
            </w:r>
            <w:r w:rsidR="009165E6" w:rsidRPr="008C2070">
              <w:rPr>
                <w:rFonts w:cs="Arial"/>
                <w:sz w:val="16"/>
                <w:szCs w:val="16"/>
                <w:lang w:val="es-MX"/>
              </w:rPr>
              <w:t>8</w:t>
            </w:r>
            <w:r w:rsidR="00933F76">
              <w:rPr>
                <w:rFonts w:cs="Arial"/>
                <w:sz w:val="16"/>
                <w:szCs w:val="16"/>
                <w:lang w:val="es-MX"/>
              </w:rPr>
              <w:t>d</w:t>
            </w:r>
            <w:r w:rsidRPr="008C2070">
              <w:rPr>
                <w:rFonts w:cs="Arial"/>
                <w:sz w:val="16"/>
                <w:szCs w:val="16"/>
                <w:lang w:val="es-MX"/>
              </w:rPr>
              <w:t>).</w:t>
            </w:r>
            <w:r w:rsidR="00F03A41" w:rsidRPr="008C2070"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="009165E6" w:rsidRPr="00A60A94">
              <w:rPr>
                <w:rFonts w:cs="Arial"/>
                <w:sz w:val="16"/>
                <w:szCs w:val="16"/>
                <w:lang w:val="es-MX"/>
              </w:rPr>
              <w:t>PIB y Cuentas Nacionales.</w:t>
            </w:r>
          </w:p>
          <w:p w14:paraId="5B4C15E9" w14:textId="6A5ADC4C" w:rsidR="00F03A41" w:rsidRPr="008C2070" w:rsidRDefault="00146EC3" w:rsidP="00AF6E70">
            <w:pPr>
              <w:ind w:right="-70"/>
              <w:rPr>
                <w:rFonts w:cs="Arial"/>
                <w:sz w:val="16"/>
                <w:szCs w:val="16"/>
                <w:lang w:val="en-US"/>
              </w:rPr>
            </w:pPr>
            <w:r w:rsidRPr="0094487B">
              <w:rPr>
                <w:rFonts w:cs="Arial"/>
                <w:sz w:val="16"/>
                <w:szCs w:val="16"/>
                <w:lang w:val="en-US"/>
              </w:rPr>
              <w:t>OECD (20</w:t>
            </w:r>
            <w:r w:rsidR="009165E6" w:rsidRPr="0094487B">
              <w:rPr>
                <w:rFonts w:cs="Arial"/>
                <w:sz w:val="16"/>
                <w:szCs w:val="16"/>
                <w:lang w:val="en-US"/>
              </w:rPr>
              <w:t>19</w:t>
            </w:r>
            <w:r w:rsidR="008D5DBD">
              <w:rPr>
                <w:rFonts w:cs="Arial"/>
                <w:sz w:val="16"/>
                <w:szCs w:val="16"/>
                <w:lang w:val="en-US"/>
              </w:rPr>
              <w:t>a</w:t>
            </w:r>
            <w:r w:rsidR="00F03A41" w:rsidRPr="0094487B">
              <w:rPr>
                <w:rFonts w:cs="Arial"/>
                <w:sz w:val="16"/>
                <w:szCs w:val="16"/>
                <w:lang w:val="en-US"/>
              </w:rPr>
              <w:t>)</w:t>
            </w:r>
            <w:r w:rsidR="007D404E" w:rsidRPr="0094487B">
              <w:rPr>
                <w:rFonts w:cs="Arial"/>
                <w:sz w:val="16"/>
                <w:szCs w:val="16"/>
                <w:lang w:val="en-US"/>
              </w:rPr>
              <w:t>.</w:t>
            </w:r>
            <w:r w:rsidR="00F03A41" w:rsidRPr="0094487B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="00D7704B" w:rsidRPr="00A60A94">
              <w:rPr>
                <w:rFonts w:cs="Arial"/>
                <w:sz w:val="16"/>
                <w:szCs w:val="16"/>
                <w:lang w:val="en-US"/>
              </w:rPr>
              <w:t>OE</w:t>
            </w:r>
            <w:r w:rsidR="00D7704B">
              <w:rPr>
                <w:rFonts w:cs="Arial"/>
                <w:sz w:val="16"/>
                <w:szCs w:val="16"/>
                <w:lang w:val="en-US"/>
              </w:rPr>
              <w:t xml:space="preserve">CD. Stat. </w:t>
            </w:r>
            <w:r w:rsidR="00F03A41" w:rsidRPr="00A60A94">
              <w:rPr>
                <w:rFonts w:cs="Arial"/>
                <w:sz w:val="16"/>
                <w:szCs w:val="16"/>
                <w:lang w:val="en-US"/>
              </w:rPr>
              <w:t>National Accounts</w:t>
            </w:r>
            <w:r w:rsidR="009165E6" w:rsidRPr="00A60A94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r w:rsidR="00F03A41" w:rsidRPr="00A60A94">
              <w:rPr>
                <w:rFonts w:cs="Arial"/>
                <w:sz w:val="16"/>
                <w:szCs w:val="16"/>
                <w:lang w:val="en-US"/>
              </w:rPr>
              <w:t>Annual National Accounts</w:t>
            </w:r>
            <w:r w:rsidR="009165E6" w:rsidRPr="00A60A94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r w:rsidR="00F03A41" w:rsidRPr="00A60A94">
              <w:rPr>
                <w:rFonts w:cs="Arial"/>
                <w:sz w:val="16"/>
                <w:szCs w:val="16"/>
                <w:lang w:val="en-US"/>
              </w:rPr>
              <w:t>Main Aggregates</w:t>
            </w:r>
            <w:r w:rsidR="009165E6" w:rsidRPr="00A60A94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r w:rsidR="00F03A41" w:rsidRPr="00A60A94">
              <w:rPr>
                <w:rFonts w:cs="Arial"/>
                <w:sz w:val="16"/>
                <w:szCs w:val="16"/>
                <w:lang w:val="en-US"/>
              </w:rPr>
              <w:t>PPPs and exchange rates</w:t>
            </w:r>
            <w:r w:rsidR="00F03A41" w:rsidRPr="008C2070">
              <w:rPr>
                <w:rFonts w:cs="Arial"/>
                <w:sz w:val="16"/>
                <w:szCs w:val="16"/>
                <w:lang w:val="en-US"/>
              </w:rPr>
              <w:t>.</w:t>
            </w:r>
          </w:p>
          <w:p w14:paraId="1266C853" w14:textId="3AC23836" w:rsidR="009E6647" w:rsidRPr="008C2070" w:rsidRDefault="006C73D1" w:rsidP="00AF6E70">
            <w:pPr>
              <w:ind w:right="-70"/>
              <w:rPr>
                <w:rFonts w:cs="Arial"/>
                <w:sz w:val="16"/>
                <w:szCs w:val="16"/>
                <w:lang w:val="en-US"/>
              </w:rPr>
            </w:pPr>
            <w:r w:rsidRPr="008C2070">
              <w:rPr>
                <w:rFonts w:cs="Arial"/>
                <w:sz w:val="16"/>
                <w:szCs w:val="16"/>
                <w:lang w:val="en-US"/>
              </w:rPr>
              <w:t>OECD (</w:t>
            </w:r>
            <w:r w:rsidRPr="0094487B">
              <w:rPr>
                <w:rFonts w:cs="Arial"/>
                <w:sz w:val="16"/>
                <w:szCs w:val="16"/>
                <w:lang w:val="en-US"/>
              </w:rPr>
              <w:t>20</w:t>
            </w:r>
            <w:r w:rsidR="009165E6" w:rsidRPr="0094487B">
              <w:rPr>
                <w:rFonts w:cs="Arial"/>
                <w:sz w:val="16"/>
                <w:szCs w:val="16"/>
                <w:lang w:val="en-US"/>
              </w:rPr>
              <w:t>19</w:t>
            </w:r>
            <w:r w:rsidR="008D5DBD">
              <w:rPr>
                <w:rFonts w:cs="Arial"/>
                <w:sz w:val="16"/>
                <w:szCs w:val="16"/>
                <w:lang w:val="en-US"/>
              </w:rPr>
              <w:t>b</w:t>
            </w:r>
            <w:r w:rsidR="009E6647" w:rsidRPr="002F0204">
              <w:rPr>
                <w:rFonts w:cs="Arial"/>
                <w:sz w:val="16"/>
                <w:szCs w:val="16"/>
                <w:lang w:val="en-US"/>
              </w:rPr>
              <w:t>)</w:t>
            </w:r>
            <w:r w:rsidR="007D404E" w:rsidRPr="008C2070">
              <w:rPr>
                <w:rFonts w:cs="Arial"/>
                <w:sz w:val="16"/>
                <w:szCs w:val="16"/>
                <w:lang w:val="en-US"/>
              </w:rPr>
              <w:t>.</w:t>
            </w:r>
            <w:r w:rsidR="009E6647" w:rsidRPr="008C207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="00015B2D" w:rsidRPr="00A60A94">
              <w:rPr>
                <w:rFonts w:cs="Arial"/>
                <w:sz w:val="16"/>
                <w:szCs w:val="16"/>
                <w:lang w:val="en-US"/>
              </w:rPr>
              <w:t>OECD.</w:t>
            </w:r>
            <w:r w:rsidR="00D7704B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="00015B2D" w:rsidRPr="00A60A94">
              <w:rPr>
                <w:rFonts w:cs="Arial"/>
                <w:sz w:val="16"/>
                <w:szCs w:val="16"/>
                <w:lang w:val="en-US"/>
              </w:rPr>
              <w:t xml:space="preserve">Stat. </w:t>
            </w:r>
            <w:r w:rsidR="009E6647" w:rsidRPr="00A60A94">
              <w:rPr>
                <w:rFonts w:cs="Arial"/>
                <w:sz w:val="16"/>
                <w:szCs w:val="16"/>
                <w:lang w:val="en-US"/>
              </w:rPr>
              <w:t>Productivity</w:t>
            </w:r>
            <w:r w:rsidR="009165E6" w:rsidRPr="00A60A94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r w:rsidR="009E6647" w:rsidRPr="00A60A94">
              <w:rPr>
                <w:rFonts w:cs="Arial"/>
                <w:sz w:val="16"/>
                <w:szCs w:val="16"/>
                <w:lang w:val="en-US"/>
              </w:rPr>
              <w:t>Productivity and ULC-Annual, Total Economy</w:t>
            </w:r>
            <w:r w:rsidR="009165E6" w:rsidRPr="00A60A94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r w:rsidR="009E6647" w:rsidRPr="00A60A94">
              <w:rPr>
                <w:rFonts w:cs="Arial"/>
                <w:sz w:val="16"/>
                <w:szCs w:val="16"/>
                <w:lang w:val="en-US"/>
              </w:rPr>
              <w:t>Level of GDP per capita and productivity</w:t>
            </w:r>
            <w:r w:rsidR="009E6647" w:rsidRPr="008C2070">
              <w:rPr>
                <w:rFonts w:cs="Arial"/>
                <w:sz w:val="16"/>
                <w:szCs w:val="16"/>
                <w:lang w:val="en-US"/>
              </w:rPr>
              <w:t>.</w:t>
            </w:r>
          </w:p>
          <w:p w14:paraId="0B2613FA" w14:textId="4F19E99F" w:rsidR="00C708BB" w:rsidRPr="008C2070" w:rsidRDefault="005C191A" w:rsidP="00AF6E70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  <w:r w:rsidRPr="00A60A94">
              <w:rPr>
                <w:rFonts w:cs="Arial"/>
                <w:caps/>
                <w:sz w:val="16"/>
                <w:szCs w:val="16"/>
              </w:rPr>
              <w:t>Inegi</w:t>
            </w:r>
            <w:r w:rsidRPr="00A60A94">
              <w:rPr>
                <w:rFonts w:cs="Arial"/>
                <w:caps/>
                <w:sz w:val="16"/>
                <w:szCs w:val="16"/>
                <w:lang w:val="es-MX"/>
              </w:rPr>
              <w:t xml:space="preserve"> </w:t>
            </w:r>
            <w:r w:rsidRPr="008C2070">
              <w:rPr>
                <w:rFonts w:cs="Arial"/>
                <w:sz w:val="16"/>
                <w:szCs w:val="16"/>
                <w:lang w:val="es-MX"/>
              </w:rPr>
              <w:t>(201</w:t>
            </w:r>
            <w:r w:rsidR="009165E6" w:rsidRPr="002F0204">
              <w:rPr>
                <w:rFonts w:cs="Arial"/>
                <w:sz w:val="16"/>
                <w:szCs w:val="16"/>
                <w:lang w:val="es-MX"/>
              </w:rPr>
              <w:t>7</w:t>
            </w:r>
            <w:r w:rsidR="00C708BB" w:rsidRPr="008C2070"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proofErr w:type="spellStart"/>
            <w:r w:rsidR="004002D7" w:rsidRPr="00A60A94">
              <w:rPr>
                <w:rFonts w:cs="Arial"/>
                <w:sz w:val="16"/>
                <w:szCs w:val="16"/>
                <w:lang w:val="ca-ES"/>
              </w:rPr>
              <w:t>Encuesta</w:t>
            </w:r>
            <w:proofErr w:type="spellEnd"/>
            <w:r w:rsidR="004002D7" w:rsidRPr="00A60A94">
              <w:rPr>
                <w:rFonts w:cs="Arial"/>
                <w:sz w:val="16"/>
                <w:szCs w:val="16"/>
                <w:lang w:val="ca-ES"/>
              </w:rPr>
              <w:t xml:space="preserve"> Nacional de </w:t>
            </w:r>
            <w:proofErr w:type="spellStart"/>
            <w:r w:rsidR="004002D7" w:rsidRPr="00A60A94">
              <w:rPr>
                <w:rFonts w:cs="Arial"/>
                <w:sz w:val="16"/>
                <w:szCs w:val="16"/>
                <w:lang w:val="ca-ES"/>
              </w:rPr>
              <w:t>Ingresos</w:t>
            </w:r>
            <w:proofErr w:type="spellEnd"/>
            <w:r w:rsidR="004002D7" w:rsidRPr="00A60A94">
              <w:rPr>
                <w:rFonts w:cs="Arial"/>
                <w:sz w:val="16"/>
                <w:szCs w:val="16"/>
                <w:lang w:val="ca-ES"/>
              </w:rPr>
              <w:t xml:space="preserve"> y </w:t>
            </w:r>
            <w:proofErr w:type="spellStart"/>
            <w:r w:rsidR="004002D7" w:rsidRPr="00A60A94">
              <w:rPr>
                <w:rFonts w:cs="Arial"/>
                <w:sz w:val="16"/>
                <w:szCs w:val="16"/>
                <w:lang w:val="ca-ES"/>
              </w:rPr>
              <w:t>Gastos</w:t>
            </w:r>
            <w:proofErr w:type="spellEnd"/>
            <w:r w:rsidR="004002D7" w:rsidRPr="00A60A94">
              <w:rPr>
                <w:rFonts w:cs="Arial"/>
                <w:sz w:val="16"/>
                <w:szCs w:val="16"/>
                <w:lang w:val="ca-ES"/>
              </w:rPr>
              <w:t xml:space="preserve"> de los </w:t>
            </w:r>
            <w:proofErr w:type="spellStart"/>
            <w:r w:rsidR="004002D7" w:rsidRPr="00A60A94">
              <w:rPr>
                <w:rFonts w:cs="Arial"/>
                <w:sz w:val="16"/>
                <w:szCs w:val="16"/>
                <w:lang w:val="ca-ES"/>
              </w:rPr>
              <w:t>Hogares</w:t>
            </w:r>
            <w:proofErr w:type="spellEnd"/>
            <w:r w:rsidR="004002D7" w:rsidRPr="008C2070">
              <w:rPr>
                <w:rFonts w:cs="Arial"/>
                <w:sz w:val="16"/>
                <w:szCs w:val="16"/>
                <w:lang w:val="ca-ES"/>
              </w:rPr>
              <w:t xml:space="preserve"> 2016.</w:t>
            </w:r>
          </w:p>
          <w:p w14:paraId="043B8AA2" w14:textId="2F6F5541" w:rsidR="005959D8" w:rsidRPr="008C2070" w:rsidRDefault="00015B2D" w:rsidP="00AF6E70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  <w:r w:rsidRPr="00A60A94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</w:p>
          <w:p w14:paraId="7B422371" w14:textId="77777777" w:rsidR="00507FB4" w:rsidRPr="008C2070" w:rsidRDefault="0085568A" w:rsidP="00AF6E70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8C2070">
              <w:rPr>
                <w:rFonts w:cs="Arial"/>
                <w:b/>
                <w:sz w:val="16"/>
                <w:szCs w:val="16"/>
              </w:rPr>
              <w:t>Nota</w:t>
            </w:r>
          </w:p>
          <w:p w14:paraId="3356A7E7" w14:textId="3EA0D61F" w:rsidR="00507FB4" w:rsidRPr="00B360DF" w:rsidRDefault="00507FB4" w:rsidP="004C561F">
            <w:pPr>
              <w:rPr>
                <w:rFonts w:cs="Arial"/>
                <w:b/>
                <w:sz w:val="12"/>
                <w:szCs w:val="12"/>
              </w:rPr>
            </w:pPr>
            <w:r w:rsidRPr="00B360DF">
              <w:rPr>
                <w:rFonts w:cs="Arial"/>
                <w:b/>
                <w:bCs/>
                <w:sz w:val="12"/>
                <w:szCs w:val="12"/>
                <w:vertAlign w:val="superscript"/>
              </w:rPr>
              <w:t xml:space="preserve">1 </w:t>
            </w:r>
            <w:r w:rsidRPr="00B360DF">
              <w:rPr>
                <w:rFonts w:cs="Arial"/>
                <w:sz w:val="12"/>
                <w:szCs w:val="12"/>
              </w:rPr>
              <w:t xml:space="preserve">El PIB por entidad federativa sólo se publica </w:t>
            </w:r>
            <w:r w:rsidR="00AB387A" w:rsidRPr="00B360DF">
              <w:rPr>
                <w:rFonts w:cs="Arial"/>
                <w:sz w:val="12"/>
                <w:szCs w:val="12"/>
              </w:rPr>
              <w:t>en</w:t>
            </w:r>
            <w:r w:rsidR="004C561F" w:rsidRPr="00B360DF">
              <w:rPr>
                <w:rFonts w:cs="Arial"/>
                <w:sz w:val="12"/>
                <w:szCs w:val="12"/>
              </w:rPr>
              <w:t xml:space="preserve"> valores básicos, es decir,</w:t>
            </w:r>
            <w:r w:rsidRPr="00B360DF">
              <w:rPr>
                <w:rFonts w:cs="Arial"/>
                <w:sz w:val="12"/>
                <w:szCs w:val="12"/>
              </w:rPr>
              <w:t xml:space="preserve"> no considera impuestos y subsidios. El PIB nacional, además</w:t>
            </w:r>
            <w:r w:rsidR="00AB387A" w:rsidRPr="00B360DF">
              <w:rPr>
                <w:rFonts w:cs="Arial"/>
                <w:sz w:val="12"/>
                <w:szCs w:val="12"/>
              </w:rPr>
              <w:t>,</w:t>
            </w:r>
            <w:r w:rsidRPr="00B360DF">
              <w:rPr>
                <w:rFonts w:cs="Arial"/>
                <w:sz w:val="12"/>
                <w:szCs w:val="12"/>
              </w:rPr>
              <w:t xml:space="preserve"> es publicado a valores de mercado (incluye impuestos y subsidios)</w:t>
            </w:r>
            <w:r w:rsidR="00AB387A" w:rsidRPr="00B360DF">
              <w:rPr>
                <w:rFonts w:cs="Arial"/>
                <w:sz w:val="12"/>
                <w:szCs w:val="12"/>
              </w:rPr>
              <w:t>,</w:t>
            </w:r>
            <w:r w:rsidRPr="00B360DF">
              <w:rPr>
                <w:rFonts w:cs="Arial"/>
                <w:sz w:val="12"/>
                <w:szCs w:val="12"/>
              </w:rPr>
              <w:t xml:space="preserve"> lo cual permite la comparabilidad internacional.</w:t>
            </w:r>
          </w:p>
        </w:tc>
      </w:tr>
    </w:tbl>
    <w:p w14:paraId="672A0C5F" w14:textId="59DEA7E6" w:rsidR="00C214B8" w:rsidRPr="00B360DF" w:rsidRDefault="00B55B7A" w:rsidP="00C214B8">
      <w:pPr>
        <w:rPr>
          <w:b/>
          <w:sz w:val="20"/>
          <w:szCs w:val="20"/>
        </w:rPr>
      </w:pPr>
      <w:r w:rsidRPr="00B360DF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562CDE" wp14:editId="0FCBB2E4">
                <wp:simplePos x="0" y="0"/>
                <wp:positionH relativeFrom="column">
                  <wp:posOffset>165100</wp:posOffset>
                </wp:positionH>
                <wp:positionV relativeFrom="paragraph">
                  <wp:posOffset>-6013450</wp:posOffset>
                </wp:positionV>
                <wp:extent cx="685800" cy="234950"/>
                <wp:effectExtent l="0" t="0" r="19050" b="127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7A9D70" w14:textId="2D12AF73" w:rsidR="008A56F3" w:rsidRPr="00DD7B62" w:rsidRDefault="008A56F3" w:rsidP="00AE179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DD7B62">
                              <w:rPr>
                                <w:b/>
                                <w:sz w:val="20"/>
                                <w:szCs w:val="20"/>
                                <w:lang w:val="es-MX"/>
                              </w:rPr>
                              <w:t>C</w:t>
                            </w:r>
                            <w:r w:rsidR="003E2C0D">
                              <w:rPr>
                                <w:b/>
                                <w:sz w:val="20"/>
                                <w:szCs w:val="20"/>
                                <w:lang w:val="es-MX"/>
                              </w:rPr>
                              <w:t>S04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562CDE" id="AutoShape 2" o:spid="_x0000_s1026" style="position:absolute;margin-left:13pt;margin-top:-473.5pt;width:54pt;height: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">
                <v:textbox inset="0,0,0,0">
                  <w:txbxContent>
                    <w:p w14:paraId="257A9D70" w14:textId="2D12AF73" w:rsidR="008A56F3" w:rsidRPr="00DD7B62" w:rsidRDefault="008A56F3" w:rsidP="00AE1792">
                      <w:pPr>
                        <w:jc w:val="center"/>
                        <w:rPr>
                          <w:b/>
                          <w:sz w:val="20"/>
                          <w:szCs w:val="20"/>
                          <w:lang w:val="es-MX"/>
                        </w:rPr>
                      </w:pPr>
                      <w:r w:rsidRPr="00DD7B62">
                        <w:rPr>
                          <w:b/>
                          <w:sz w:val="20"/>
                          <w:szCs w:val="20"/>
                          <w:lang w:val="es-MX"/>
                        </w:rPr>
                        <w:t>C</w:t>
                      </w:r>
                      <w:r w:rsidR="003E2C0D">
                        <w:rPr>
                          <w:b/>
                          <w:sz w:val="20"/>
                          <w:szCs w:val="20"/>
                          <w:lang w:val="es-MX"/>
                        </w:rPr>
                        <w:t>S04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3299138" w14:textId="77777777" w:rsidR="00CA090F" w:rsidRPr="00B360DF" w:rsidRDefault="00CA090F" w:rsidP="00C214B8">
      <w:pPr>
        <w:rPr>
          <w:b/>
          <w:sz w:val="20"/>
          <w:szCs w:val="20"/>
        </w:rPr>
      </w:pPr>
    </w:p>
    <w:p w14:paraId="7CB50315" w14:textId="77777777" w:rsidR="00CA090F" w:rsidRPr="00B360DF" w:rsidRDefault="00CA090F" w:rsidP="00C214B8">
      <w:pPr>
        <w:rPr>
          <w:b/>
          <w:sz w:val="20"/>
          <w:szCs w:val="20"/>
        </w:rPr>
      </w:pPr>
    </w:p>
    <w:p w14:paraId="4744327E" w14:textId="77777777" w:rsidR="00CA090F" w:rsidRPr="00B360DF" w:rsidRDefault="00CA090F">
      <w:pPr>
        <w:rPr>
          <w:b/>
          <w:sz w:val="20"/>
          <w:szCs w:val="20"/>
        </w:rPr>
      </w:pPr>
      <w:r w:rsidRPr="00B360DF">
        <w:rPr>
          <w:b/>
          <w:sz w:val="20"/>
          <w:szCs w:val="20"/>
        </w:rPr>
        <w:br w:type="page"/>
      </w:r>
    </w:p>
    <w:p w14:paraId="1E51DAFA" w14:textId="77777777" w:rsidR="00CA090F" w:rsidRPr="00B360DF" w:rsidRDefault="00CA090F" w:rsidP="00C214B8">
      <w:pPr>
        <w:rPr>
          <w:b/>
          <w:sz w:val="20"/>
          <w:szCs w:val="20"/>
        </w:rPr>
      </w:pPr>
    </w:p>
    <w:p w14:paraId="454A5C12" w14:textId="77777777" w:rsidR="00CA090F" w:rsidRPr="00B360DF" w:rsidRDefault="00CA090F" w:rsidP="00C214B8">
      <w:pPr>
        <w:rPr>
          <w:b/>
          <w:sz w:val="20"/>
          <w:szCs w:val="20"/>
        </w:rPr>
      </w:pPr>
    </w:p>
    <w:p w14:paraId="50BB01AB" w14:textId="54EA53C7" w:rsidR="00F92607" w:rsidRPr="00B360DF" w:rsidRDefault="00535170" w:rsidP="0061137B">
      <w:pPr>
        <w:rPr>
          <w:b/>
          <w:sz w:val="16"/>
          <w:szCs w:val="16"/>
        </w:rPr>
      </w:pPr>
      <w:r w:rsidRPr="00B360DF">
        <w:rPr>
          <w:b/>
          <w:sz w:val="16"/>
          <w:szCs w:val="16"/>
        </w:rPr>
        <w:t xml:space="preserve">Información de referencia </w:t>
      </w:r>
    </w:p>
    <w:p w14:paraId="7E7C2847" w14:textId="77777777" w:rsidR="00535170" w:rsidRPr="00B360DF" w:rsidRDefault="00535170" w:rsidP="0061137B"/>
    <w:tbl>
      <w:tblPr>
        <w:tblW w:w="4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</w:tblGrid>
      <w:tr w:rsidR="00C90E9A" w:rsidRPr="00C90E9A" w14:paraId="1AB3F326" w14:textId="77777777" w:rsidTr="00C90E9A">
        <w:trPr>
          <w:trHeight w:val="840"/>
        </w:trPr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37B75" w14:textId="77777777" w:rsidR="00C90E9A" w:rsidRPr="00C90E9A" w:rsidRDefault="00C90E9A" w:rsidP="00C90E9A">
            <w:pPr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  <w:t>Producto Interno Bruto per cápita</w:t>
            </w:r>
            <w:r w:rsidRPr="00C90E9A">
              <w:rPr>
                <w:rFonts w:cs="Arial"/>
                <w:b/>
                <w:bCs/>
                <w:i/>
                <w:iCs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C90E9A"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  <w:t>para países seleccionados (2013 y 2017) (dólares PPA)</w:t>
            </w:r>
            <w:r w:rsidRPr="00C90E9A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  <w:lang w:val="es-MX" w:eastAsia="es-MX"/>
              </w:rPr>
              <w:t>1</w:t>
            </w:r>
          </w:p>
        </w:tc>
      </w:tr>
      <w:tr w:rsidR="00C90E9A" w:rsidRPr="00C90E9A" w14:paraId="7BA1502D" w14:textId="77777777" w:rsidTr="00374C51">
        <w:trPr>
          <w:trHeight w:val="9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75B5"/>
            <w:vAlign w:val="center"/>
            <w:hideMark/>
          </w:tcPr>
          <w:p w14:paraId="0483C2C3" w14:textId="77777777" w:rsidR="00C90E9A" w:rsidRPr="00374C51" w:rsidRDefault="00C90E9A" w:rsidP="00C90E9A">
            <w:pPr>
              <w:jc w:val="center"/>
              <w:rPr>
                <w:rFonts w:cs="Arial"/>
                <w:color w:val="FFFFFF" w:themeColor="background1"/>
                <w:sz w:val="16"/>
                <w:szCs w:val="16"/>
                <w:lang w:val="es-MX" w:eastAsia="es-MX"/>
              </w:rPr>
            </w:pPr>
            <w:r w:rsidRPr="00374C51">
              <w:rPr>
                <w:rFonts w:cs="Arial"/>
                <w:color w:val="FFFFFF" w:themeColor="background1"/>
                <w:sz w:val="16"/>
                <w:szCs w:val="16"/>
                <w:lang w:val="es-MX" w:eastAsia="es-MX"/>
              </w:rPr>
              <w:t>Países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75B5"/>
            <w:vAlign w:val="center"/>
            <w:hideMark/>
          </w:tcPr>
          <w:p w14:paraId="4DD37108" w14:textId="77777777" w:rsidR="00C90E9A" w:rsidRPr="00374C51" w:rsidRDefault="00C90E9A" w:rsidP="00C90E9A">
            <w:pPr>
              <w:jc w:val="center"/>
              <w:rPr>
                <w:rFonts w:cs="Arial"/>
                <w:color w:val="FFFFFF" w:themeColor="background1"/>
                <w:sz w:val="16"/>
                <w:szCs w:val="16"/>
                <w:lang w:val="es-MX" w:eastAsia="es-MX"/>
              </w:rPr>
            </w:pPr>
            <w:r w:rsidRPr="00374C51">
              <w:rPr>
                <w:rFonts w:cs="Arial"/>
                <w:color w:val="FFFFFF" w:themeColor="background1"/>
                <w:sz w:val="16"/>
                <w:szCs w:val="16"/>
                <w:lang w:val="es-MX" w:eastAsia="es-MX"/>
              </w:rPr>
              <w:t>2013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75B5"/>
            <w:vAlign w:val="center"/>
            <w:hideMark/>
          </w:tcPr>
          <w:p w14:paraId="43A4109B" w14:textId="77777777" w:rsidR="00C90E9A" w:rsidRPr="00374C51" w:rsidRDefault="00C90E9A" w:rsidP="00C90E9A">
            <w:pPr>
              <w:jc w:val="center"/>
              <w:rPr>
                <w:rFonts w:cs="Arial"/>
                <w:color w:val="FFFFFF" w:themeColor="background1"/>
                <w:sz w:val="16"/>
                <w:szCs w:val="16"/>
                <w:lang w:val="es-MX" w:eastAsia="es-MX"/>
              </w:rPr>
            </w:pPr>
            <w:r w:rsidRPr="00374C51">
              <w:rPr>
                <w:rFonts w:cs="Arial"/>
                <w:color w:val="FFFFFF" w:themeColor="background1"/>
                <w:sz w:val="16"/>
                <w:szCs w:val="16"/>
                <w:lang w:val="es-MX" w:eastAsia="es-MX"/>
              </w:rPr>
              <w:t>2017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75B5"/>
            <w:vAlign w:val="center"/>
            <w:hideMark/>
          </w:tcPr>
          <w:p w14:paraId="081DD5D7" w14:textId="77777777" w:rsidR="00C90E9A" w:rsidRPr="00374C51" w:rsidRDefault="00C90E9A" w:rsidP="00C90E9A">
            <w:pPr>
              <w:jc w:val="center"/>
              <w:rPr>
                <w:rFonts w:cs="Arial"/>
                <w:color w:val="FFFFFF" w:themeColor="background1"/>
                <w:sz w:val="16"/>
                <w:szCs w:val="16"/>
                <w:lang w:val="es-MX" w:eastAsia="es-MX"/>
              </w:rPr>
            </w:pPr>
            <w:r w:rsidRPr="00374C51">
              <w:rPr>
                <w:rFonts w:cs="Arial"/>
                <w:color w:val="FFFFFF" w:themeColor="background1"/>
                <w:sz w:val="16"/>
                <w:szCs w:val="16"/>
                <w:lang w:val="es-MX" w:eastAsia="es-MX"/>
              </w:rPr>
              <w:t xml:space="preserve">Tasa media de crecimiento anual </w:t>
            </w:r>
            <w:proofErr w:type="spellStart"/>
            <w:r w:rsidRPr="00374C51">
              <w:rPr>
                <w:rFonts w:cs="Arial"/>
                <w:color w:val="FFFFFF" w:themeColor="background1"/>
                <w:sz w:val="16"/>
                <w:szCs w:val="16"/>
                <w:lang w:val="es-MX" w:eastAsia="es-MX"/>
              </w:rPr>
              <w:t>PIB</w:t>
            </w:r>
            <w:r w:rsidRPr="00374C51">
              <w:rPr>
                <w:rFonts w:cs="Arial"/>
                <w:color w:val="FFFFFF" w:themeColor="background1"/>
                <w:sz w:val="16"/>
                <w:szCs w:val="16"/>
                <w:vertAlign w:val="subscript"/>
                <w:lang w:val="es-MX" w:eastAsia="es-MX"/>
              </w:rPr>
              <w:t>pc</w:t>
            </w:r>
            <w:proofErr w:type="spellEnd"/>
            <w:r w:rsidRPr="00374C51">
              <w:rPr>
                <w:rFonts w:cs="Arial"/>
                <w:color w:val="FFFFFF" w:themeColor="background1"/>
                <w:sz w:val="16"/>
                <w:szCs w:val="16"/>
                <w:lang w:val="es-MX" w:eastAsia="es-MX"/>
              </w:rPr>
              <w:t xml:space="preserve"> 2013-2017</w:t>
            </w:r>
          </w:p>
        </w:tc>
      </w:tr>
      <w:tr w:rsidR="00C90E9A" w:rsidRPr="00C90E9A" w14:paraId="303EDCE7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BB97" w14:textId="77777777" w:rsidR="00C90E9A" w:rsidRPr="00C90E9A" w:rsidRDefault="00C90E9A" w:rsidP="00C90E9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Canadá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89C4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41 640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EC0E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43 291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DCB4" w14:textId="77777777" w:rsidR="00C90E9A" w:rsidRPr="00C90E9A" w:rsidRDefault="00C90E9A" w:rsidP="00C90E9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1.0</w:t>
            </w:r>
          </w:p>
        </w:tc>
      </w:tr>
      <w:tr w:rsidR="00C90E9A" w:rsidRPr="00C90E9A" w14:paraId="7D751B56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58E4" w14:textId="77777777" w:rsidR="00C90E9A" w:rsidRPr="00C90E9A" w:rsidRDefault="00C90E9A" w:rsidP="00C90E9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Chile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0DE6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20 460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201F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20 849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30F0" w14:textId="77777777" w:rsidR="00C90E9A" w:rsidRPr="00C90E9A" w:rsidRDefault="00C90E9A" w:rsidP="00C90E9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0.5</w:t>
            </w:r>
          </w:p>
        </w:tc>
      </w:tr>
      <w:tr w:rsidR="00C90E9A" w:rsidRPr="00C90E9A" w14:paraId="5ACB26BF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9C45" w14:textId="77777777" w:rsidR="00C90E9A" w:rsidRPr="00C90E9A" w:rsidRDefault="00C90E9A" w:rsidP="00C90E9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Corea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B771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32 575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429D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35 982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75B2" w14:textId="77777777" w:rsidR="00C90E9A" w:rsidRPr="00C90E9A" w:rsidRDefault="00C90E9A" w:rsidP="00C90E9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2.5</w:t>
            </w:r>
          </w:p>
        </w:tc>
      </w:tr>
      <w:tr w:rsidR="00C90E9A" w:rsidRPr="00C90E9A" w14:paraId="4E159F6A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5B9B" w14:textId="77777777" w:rsidR="00C90E9A" w:rsidRPr="00C90E9A" w:rsidRDefault="00C90E9A" w:rsidP="00C90E9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España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2A91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30 175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CDAC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33 729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26E4" w14:textId="77777777" w:rsidR="00C90E9A" w:rsidRPr="00C90E9A" w:rsidRDefault="00C90E9A" w:rsidP="00C90E9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2.8</w:t>
            </w:r>
          </w:p>
        </w:tc>
      </w:tr>
      <w:tr w:rsidR="00C90E9A" w:rsidRPr="00C90E9A" w14:paraId="5844CD4E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9441" w14:textId="77777777" w:rsidR="00C90E9A" w:rsidRPr="00C90E9A" w:rsidRDefault="00C90E9A" w:rsidP="00C90E9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Estados Unidos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46ED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50 075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A640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53 219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A8EA" w14:textId="77777777" w:rsidR="00C90E9A" w:rsidRPr="00C90E9A" w:rsidRDefault="00C90E9A" w:rsidP="00C90E9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1.5</w:t>
            </w:r>
          </w:p>
        </w:tc>
      </w:tr>
      <w:tr w:rsidR="00C90E9A" w:rsidRPr="00C90E9A" w14:paraId="2FE533C6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214B" w14:textId="77777777" w:rsidR="00C90E9A" w:rsidRPr="00C90E9A" w:rsidRDefault="00C90E9A" w:rsidP="00C90E9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México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3308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16 033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8C40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17 143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64FE" w14:textId="77777777" w:rsidR="00C90E9A" w:rsidRPr="00C90E9A" w:rsidRDefault="00C90E9A" w:rsidP="00C90E9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1.7</w:t>
            </w:r>
          </w:p>
        </w:tc>
      </w:tr>
      <w:tr w:rsidR="00C90E9A" w:rsidRPr="00C90E9A" w14:paraId="1BC9B0C4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020F" w14:textId="77777777" w:rsidR="00C90E9A" w:rsidRPr="00C90E9A" w:rsidRDefault="00C90E9A" w:rsidP="00C90E9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OECD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A5BC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36 440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DE30" w14:textId="77777777" w:rsidR="00C90E9A" w:rsidRPr="00C90E9A" w:rsidRDefault="00C90E9A" w:rsidP="00C90E9A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38 976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9673" w14:textId="77777777" w:rsidR="00C90E9A" w:rsidRPr="00C90E9A" w:rsidRDefault="00C90E9A" w:rsidP="00C90E9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1.7</w:t>
            </w:r>
          </w:p>
        </w:tc>
      </w:tr>
      <w:tr w:rsidR="00C90E9A" w:rsidRPr="00C90E9A" w14:paraId="42F60166" w14:textId="77777777" w:rsidTr="00C90E9A">
        <w:trPr>
          <w:trHeight w:val="300"/>
        </w:trPr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13C4" w14:textId="12677B63" w:rsidR="00C90E9A" w:rsidRPr="00C90E9A" w:rsidRDefault="00C90E9A" w:rsidP="00C90E9A">
            <w:pPr>
              <w:rPr>
                <w:rFonts w:cs="Arial"/>
                <w:color w:val="000000"/>
                <w:sz w:val="12"/>
                <w:szCs w:val="12"/>
                <w:lang w:val="es-MX" w:eastAsia="es-MX"/>
              </w:rPr>
            </w:pPr>
            <w:r w:rsidRPr="00C90E9A">
              <w:rPr>
                <w:rFonts w:cs="Arial"/>
                <w:color w:val="000000"/>
                <w:sz w:val="12"/>
                <w:szCs w:val="12"/>
                <w:vertAlign w:val="superscript"/>
                <w:lang w:val="es-MX" w:eastAsia="es-MX"/>
              </w:rPr>
              <w:t xml:space="preserve">1 </w:t>
            </w:r>
            <w:r w:rsidRPr="00C90E9A">
              <w:rPr>
                <w:rFonts w:cs="Arial"/>
                <w:color w:val="000000"/>
                <w:sz w:val="12"/>
                <w:szCs w:val="12"/>
                <w:lang w:val="es-MX" w:eastAsia="es-MX"/>
              </w:rPr>
              <w:t xml:space="preserve">Cifras en dólares PPA de 2010 a precios constantes. </w:t>
            </w:r>
            <w:r w:rsidRPr="00776A98">
              <w:rPr>
                <w:rFonts w:cs="Arial"/>
                <w:color w:val="000000"/>
                <w:sz w:val="12"/>
                <w:szCs w:val="12"/>
                <w:lang w:val="es-MX" w:eastAsia="es-MX"/>
              </w:rPr>
              <w:t xml:space="preserve">Ver </w:t>
            </w:r>
            <w:r w:rsidR="00D7704B">
              <w:rPr>
                <w:rFonts w:cs="Arial"/>
                <w:color w:val="000000"/>
                <w:sz w:val="12"/>
                <w:szCs w:val="12"/>
                <w:lang w:val="es-MX" w:eastAsia="es-MX"/>
              </w:rPr>
              <w:t xml:space="preserve">la </w:t>
            </w:r>
            <w:r w:rsidRPr="00776A98">
              <w:rPr>
                <w:rFonts w:cs="Arial"/>
                <w:color w:val="000000"/>
                <w:sz w:val="12"/>
                <w:szCs w:val="12"/>
                <w:lang w:val="es-MX" w:eastAsia="es-MX"/>
              </w:rPr>
              <w:t>nota técnica CS04</w:t>
            </w:r>
            <w:r w:rsidR="00776A98" w:rsidRPr="00A60A94">
              <w:rPr>
                <w:rFonts w:cs="Arial"/>
                <w:bCs/>
                <w:sz w:val="12"/>
                <w:szCs w:val="12"/>
              </w:rPr>
              <w:t xml:space="preserve"> </w:t>
            </w:r>
            <w:r w:rsidR="00B2016E">
              <w:rPr>
                <w:rFonts w:cs="Arial"/>
                <w:bCs/>
                <w:sz w:val="12"/>
                <w:szCs w:val="12"/>
              </w:rPr>
              <w:t>en</w:t>
            </w:r>
            <w:r w:rsidR="00776A98" w:rsidRPr="00A60A94">
              <w:rPr>
                <w:rFonts w:cs="Arial"/>
                <w:bCs/>
                <w:sz w:val="12"/>
                <w:szCs w:val="12"/>
              </w:rPr>
              <w:t xml:space="preserve"> </w:t>
            </w:r>
            <w:r w:rsidR="00776A98" w:rsidRPr="00A60A94">
              <w:rPr>
                <w:rFonts w:cs="Arial"/>
                <w:bCs/>
                <w:i/>
                <w:sz w:val="12"/>
                <w:szCs w:val="12"/>
              </w:rPr>
              <w:t>Panorama Educativo de México 2017</w:t>
            </w:r>
            <w:r w:rsidR="00776A98" w:rsidRPr="00A60A94">
              <w:rPr>
                <w:rFonts w:cs="Arial"/>
                <w:bCs/>
                <w:sz w:val="12"/>
                <w:szCs w:val="12"/>
              </w:rPr>
              <w:t xml:space="preserve"> (INEE, 2018b, p. 163</w:t>
            </w:r>
            <w:r w:rsidR="00776A98">
              <w:rPr>
                <w:rFonts w:cs="Arial"/>
                <w:bCs/>
                <w:sz w:val="12"/>
                <w:szCs w:val="12"/>
              </w:rPr>
              <w:t>)</w:t>
            </w:r>
            <w:r w:rsidRPr="00776A98">
              <w:rPr>
                <w:rFonts w:cs="Arial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</w:tr>
      <w:tr w:rsidR="00C90E9A" w:rsidRPr="00A60A94" w14:paraId="0F71A73C" w14:textId="77777777" w:rsidTr="00C90E9A">
        <w:trPr>
          <w:trHeight w:val="555"/>
        </w:trPr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06C8F" w14:textId="6C2028CB" w:rsidR="00C90E9A" w:rsidRPr="00C90E9A" w:rsidRDefault="00C90E9A" w:rsidP="00C90E9A">
            <w:pPr>
              <w:rPr>
                <w:rFonts w:cs="Arial"/>
                <w:color w:val="000000"/>
                <w:sz w:val="12"/>
                <w:szCs w:val="12"/>
                <w:lang w:val="en-US" w:eastAsia="es-MX"/>
              </w:rPr>
            </w:pPr>
            <w:r w:rsidRPr="00C90E9A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>Fuente: OECD.</w:t>
            </w:r>
            <w:r w:rsidR="00533D12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 xml:space="preserve"> </w:t>
            </w:r>
            <w:r w:rsidRPr="00C90E9A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>Stat Productivity</w:t>
            </w:r>
            <w:r w:rsidR="001C6DA3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 xml:space="preserve">, </w:t>
            </w:r>
            <w:r w:rsidRPr="00C90E9A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>Productivity and ULC</w:t>
            </w:r>
            <w:r w:rsidR="00137BB9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 xml:space="preserve">, </w:t>
            </w:r>
            <w:r w:rsidRPr="00C90E9A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>Annual, Total Economy</w:t>
            </w:r>
            <w:r w:rsidR="00137BB9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 xml:space="preserve">, </w:t>
            </w:r>
            <w:r w:rsidRPr="00C90E9A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 xml:space="preserve">Level of GDP per capita and productivity </w:t>
            </w:r>
            <w:r w:rsidR="00533D12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>(</w:t>
            </w:r>
            <w:r w:rsidRPr="00C90E9A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>OECD</w:t>
            </w:r>
            <w:r w:rsidR="00533D12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 xml:space="preserve">, </w:t>
            </w:r>
            <w:r w:rsidRPr="00C90E9A">
              <w:rPr>
                <w:rFonts w:cs="Arial"/>
                <w:color w:val="000000"/>
                <w:sz w:val="12"/>
                <w:szCs w:val="12"/>
                <w:lang w:val="en-US" w:eastAsia="es-MX"/>
              </w:rPr>
              <w:t>2017).</w:t>
            </w:r>
          </w:p>
        </w:tc>
      </w:tr>
    </w:tbl>
    <w:p w14:paraId="5F890E99" w14:textId="03E533A8" w:rsidR="00535170" w:rsidRPr="00B360DF" w:rsidRDefault="00535170" w:rsidP="0061137B">
      <w:pPr>
        <w:rPr>
          <w:lang w:val="en-US"/>
        </w:rPr>
      </w:pPr>
    </w:p>
    <w:p w14:paraId="1FE1E91A" w14:textId="665E7E6C" w:rsidR="00535170" w:rsidRDefault="00535170" w:rsidP="0061137B">
      <w:pPr>
        <w:rPr>
          <w:lang w:val="en-US"/>
        </w:rPr>
      </w:pPr>
    </w:p>
    <w:tbl>
      <w:tblPr>
        <w:tblW w:w="6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600"/>
        <w:gridCol w:w="1600"/>
        <w:gridCol w:w="1600"/>
      </w:tblGrid>
      <w:tr w:rsidR="00C90E9A" w:rsidRPr="00C90E9A" w14:paraId="68ADE938" w14:textId="77777777" w:rsidTr="00C90E9A">
        <w:trPr>
          <w:trHeight w:val="495"/>
        </w:trPr>
        <w:tc>
          <w:tcPr>
            <w:tcW w:w="60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169DBA" w14:textId="28C9D2C2" w:rsidR="00C90E9A" w:rsidRPr="00C90E9A" w:rsidRDefault="00C90E9A" w:rsidP="00C90E9A">
            <w:pPr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  <w:t>Producto Interno Bruto per cápita de México a valores básicos (2003-201</w:t>
            </w:r>
            <w:r w:rsidR="002B294C"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  <w:t>7</w:t>
            </w:r>
            <w:r w:rsidRPr="00C90E9A"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  <w:t>) (pesos a precios de 2013)</w:t>
            </w:r>
          </w:p>
        </w:tc>
      </w:tr>
      <w:tr w:rsidR="00C90E9A" w:rsidRPr="00C90E9A" w14:paraId="32E8451E" w14:textId="77777777" w:rsidTr="00374C51">
        <w:trPr>
          <w:trHeight w:val="9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75B5"/>
            <w:vAlign w:val="center"/>
            <w:hideMark/>
          </w:tcPr>
          <w:p w14:paraId="72D904E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Año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F75B5"/>
            <w:vAlign w:val="center"/>
            <w:hideMark/>
          </w:tcPr>
          <w:p w14:paraId="0A9DD98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proofErr w:type="spellStart"/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PIBpc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F75B5"/>
            <w:vAlign w:val="center"/>
            <w:hideMark/>
          </w:tcPr>
          <w:p w14:paraId="64AFC293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Crecimiento real anual (%)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F75B5"/>
            <w:vAlign w:val="center"/>
            <w:hideMark/>
          </w:tcPr>
          <w:p w14:paraId="45C85EC3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Crecimiento real medio anual (%)</w:t>
            </w:r>
          </w:p>
        </w:tc>
      </w:tr>
      <w:tr w:rsidR="00C90E9A" w:rsidRPr="00C90E9A" w14:paraId="2E91584D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676B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2D57" w14:textId="61A71C3D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122 063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48A8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n.a</w:t>
            </w:r>
            <w:proofErr w:type="spellEnd"/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3E28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2.1</w:t>
            </w:r>
          </w:p>
        </w:tc>
      </w:tr>
      <w:tr w:rsidR="00C90E9A" w:rsidRPr="00C90E9A" w14:paraId="1674EB8A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5EA9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4753" w14:textId="62F3401A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125 160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EB09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2.5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66E5E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C90E9A" w14:paraId="6FE24995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BA04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FDBA" w14:textId="28EF0D86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126 316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8CFB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0.9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4CCD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C90E9A" w14:paraId="4E23576B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D5A9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8A0A" w14:textId="75E68C9E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130 011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6CB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2.9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5C1B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C90E9A" w14:paraId="0F9A937C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7505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0FCB" w14:textId="28AD796B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131 082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A37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0.8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88A3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0.1</w:t>
            </w:r>
          </w:p>
        </w:tc>
      </w:tr>
      <w:tr w:rsidR="00C90E9A" w:rsidRPr="00C90E9A" w14:paraId="5EA21F65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AD5A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1D1B" w14:textId="2217C6A1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130 453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4C42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-0.5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64356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C90E9A" w14:paraId="2FBF6F52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47C7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47DA" w14:textId="052BD04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121 758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56A1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-6.7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2F91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C90E9A" w14:paraId="14EEF661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659E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4D84" w14:textId="7CE1F9B3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126 176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A91B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3.6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36B7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C90E9A" w14:paraId="5832895F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B04B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0AE8" w14:textId="043533EE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128 943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4213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2.2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47391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C90E9A" w14:paraId="52006851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D98E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E079" w14:textId="0815D428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131 961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4B29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2.3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4F7E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C90E9A" w14:paraId="516EFDF9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D991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9053" w14:textId="4878B9D4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132 057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BBB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0.1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FCD2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1.5</w:t>
            </w:r>
          </w:p>
        </w:tc>
      </w:tr>
      <w:tr w:rsidR="00C90E9A" w:rsidRPr="00C90E9A" w14:paraId="3952E8CB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12B3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1D52" w14:textId="5A7DD5CD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133 910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806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1.4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7A77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C90E9A" w14:paraId="0ECC7CFC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8B1D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A96F" w14:textId="288006DF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136 560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CF41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2.0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D8D7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C90E9A" w14:paraId="0D662B3C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90F5" w14:textId="77777777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F6CD" w14:textId="529453FB" w:rsidR="00C90E9A" w:rsidRPr="00C90E9A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138 731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CA40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1.6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C06E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7E55F0" w14:paraId="04164668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463C" w14:textId="07FE198C" w:rsidR="00C90E9A" w:rsidRPr="007E55F0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7E55F0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2017</w:t>
            </w:r>
            <w:r w:rsidR="002F0204" w:rsidRPr="007E55F0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p/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306F" w14:textId="1F669C27" w:rsidR="00C90E9A" w:rsidRPr="007E55F0" w:rsidRDefault="00C90E9A" w:rsidP="00C90E9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7E55F0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139 982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D47D" w14:textId="77777777" w:rsidR="00C90E9A" w:rsidRPr="007E55F0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7E55F0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0.9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81CB" w14:textId="77777777" w:rsidR="00C90E9A" w:rsidRPr="007E55F0" w:rsidRDefault="00C90E9A" w:rsidP="00C90E9A">
            <w:pPr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C90E9A" w:rsidRPr="007E55F0" w14:paraId="2E250F27" w14:textId="77777777" w:rsidTr="00C90E9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A858" w14:textId="3E814116" w:rsidR="00C90E9A" w:rsidRPr="007E55F0" w:rsidRDefault="00C90E9A" w:rsidP="00C90E9A">
            <w:pPr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  <w:proofErr w:type="spellStart"/>
            <w:r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n.a</w:t>
            </w:r>
            <w:proofErr w:type="spellEnd"/>
            <w:r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 xml:space="preserve">. </w:t>
            </w:r>
            <w:r w:rsidR="008C2070"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N</w:t>
            </w:r>
            <w:r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o aplica</w:t>
            </w:r>
            <w:r w:rsidR="008C2070"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2A63" w14:textId="77777777" w:rsidR="00C90E9A" w:rsidRPr="007E55F0" w:rsidRDefault="00C90E9A" w:rsidP="00C90E9A">
            <w:pPr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D973" w14:textId="77777777" w:rsidR="00C90E9A" w:rsidRPr="007E55F0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0789" w14:textId="77777777" w:rsidR="00C90E9A" w:rsidRPr="007E55F0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</w:tr>
      <w:tr w:rsidR="00C90E9A" w:rsidRPr="007E55F0" w14:paraId="18D0133E" w14:textId="77777777" w:rsidTr="00C90E9A">
        <w:trPr>
          <w:trHeight w:val="300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12B9" w14:textId="039C4AB5" w:rsidR="00C90E9A" w:rsidRPr="007E55F0" w:rsidRDefault="002F0204" w:rsidP="00C90E9A">
            <w:pPr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A60A94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 xml:space="preserve">p/ </w:t>
            </w:r>
            <w:r w:rsidR="00C90E9A"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Cifras preliminares a partir de 2017</w:t>
            </w:r>
            <w:bookmarkStart w:id="0" w:name="_GoBack"/>
            <w:r w:rsidR="00C90E9A"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.</w:t>
            </w:r>
            <w:bookmarkEnd w:id="0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2EF3" w14:textId="77777777" w:rsidR="00C90E9A" w:rsidRPr="007E55F0" w:rsidRDefault="00C90E9A" w:rsidP="00C90E9A">
            <w:pPr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281F" w14:textId="77777777" w:rsidR="00C90E9A" w:rsidRPr="007E55F0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</w:tr>
      <w:tr w:rsidR="00C90E9A" w:rsidRPr="00C90E9A" w14:paraId="7D5D5492" w14:textId="77777777" w:rsidTr="00C90E9A">
        <w:trPr>
          <w:trHeight w:val="300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EED2C" w14:textId="7FAAB651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 xml:space="preserve">Fuente: INEE, cálculos con base </w:t>
            </w:r>
            <w:r w:rsidR="00137BB9"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 xml:space="preserve">en </w:t>
            </w:r>
            <w:r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PIB y Cuentas Nacionales (</w:t>
            </w:r>
            <w:r w:rsidR="002F0204"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INEGI</w:t>
            </w:r>
            <w:r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, 2018</w:t>
            </w:r>
            <w:r w:rsidR="00D7704B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d</w:t>
            </w:r>
            <w:r w:rsidRPr="007E55F0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).</w:t>
            </w:r>
          </w:p>
        </w:tc>
      </w:tr>
    </w:tbl>
    <w:p w14:paraId="5224F210" w14:textId="77777777" w:rsidR="00C90E9A" w:rsidRPr="00C90E9A" w:rsidRDefault="00C90E9A" w:rsidP="0061137B">
      <w:pPr>
        <w:rPr>
          <w:lang w:val="es-MX"/>
        </w:rPr>
      </w:pPr>
    </w:p>
    <w:p w14:paraId="248A3D4D" w14:textId="77777777" w:rsidR="00C90E9A" w:rsidRPr="00C90E9A" w:rsidRDefault="00C90E9A" w:rsidP="0061137B">
      <w:pPr>
        <w:rPr>
          <w:lang w:val="es-MX"/>
        </w:rPr>
      </w:pPr>
    </w:p>
    <w:p w14:paraId="38B83AA0" w14:textId="77777777" w:rsidR="00535170" w:rsidRPr="00C90E9A" w:rsidRDefault="00535170" w:rsidP="0061137B">
      <w:pPr>
        <w:rPr>
          <w:lang w:val="es-MX"/>
        </w:rPr>
      </w:pPr>
    </w:p>
    <w:tbl>
      <w:tblPr>
        <w:tblW w:w="101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1082"/>
        <w:gridCol w:w="1015"/>
        <w:gridCol w:w="1015"/>
        <w:gridCol w:w="1015"/>
        <w:gridCol w:w="1015"/>
        <w:gridCol w:w="1015"/>
        <w:gridCol w:w="1015"/>
        <w:gridCol w:w="1158"/>
        <w:gridCol w:w="1015"/>
      </w:tblGrid>
      <w:tr w:rsidR="00C90E9A" w:rsidRPr="00C90E9A" w14:paraId="2D05635F" w14:textId="77777777" w:rsidTr="00C90E9A">
        <w:trPr>
          <w:trHeight w:val="331"/>
        </w:trPr>
        <w:tc>
          <w:tcPr>
            <w:tcW w:w="81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34F15" w14:textId="77777777" w:rsidR="00C90E9A" w:rsidRPr="00C90E9A" w:rsidRDefault="00C90E9A" w:rsidP="00C90E9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Producción minera petrolera relativa al Producto Interno Bruto por entidad federativa (2003-2017)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AB6D" w14:textId="77777777" w:rsidR="00C90E9A" w:rsidRPr="00C90E9A" w:rsidRDefault="00C90E9A" w:rsidP="00C90E9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436C" w14:textId="77777777" w:rsidR="00C90E9A" w:rsidRPr="00C90E9A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</w:tr>
      <w:tr w:rsidR="00C90E9A" w:rsidRPr="00C90E9A" w14:paraId="598F2F56" w14:textId="77777777" w:rsidTr="00C90E9A">
        <w:trPr>
          <w:trHeight w:val="49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42C204E2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Año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284235F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Campeche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0F1DBCE5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Chiapas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02E46773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Coahuila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0F615A7B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Nuevo León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24D8E0E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Puebla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2F38BB9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San Luis Potosí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2E812FC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Tabasco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2D12A74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Tamaulipas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3FA9362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FFFFFF"/>
                <w:sz w:val="22"/>
                <w:szCs w:val="22"/>
                <w:lang w:val="es-MX" w:eastAsia="es-MX"/>
              </w:rPr>
              <w:t>Veracruz</w:t>
            </w:r>
          </w:p>
        </w:tc>
      </w:tr>
      <w:tr w:rsidR="00C90E9A" w:rsidRPr="00C90E9A" w14:paraId="5E3EAB77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E6C8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801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90.08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C33B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7.48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A173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8BBA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0.70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14F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0.21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42F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B608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45.29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2DB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3.94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ADE3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3.66</w:t>
            </w:r>
          </w:p>
        </w:tc>
      </w:tr>
      <w:tr w:rsidR="00C90E9A" w:rsidRPr="00C90E9A" w14:paraId="122D8B80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D171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B464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89.40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401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6.52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6B14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A4FF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0.64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B675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0.56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8EF4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086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46.02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F2A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94DB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3.91</w:t>
            </w:r>
          </w:p>
        </w:tc>
      </w:tr>
      <w:tr w:rsidR="00C90E9A" w:rsidRPr="00C90E9A" w14:paraId="3F1FFAFC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5D60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2EB3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87.81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688F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5.75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267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8305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0.65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291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0.44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1BC4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01D3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47.52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CA6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4.19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A79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4.39</w:t>
            </w:r>
          </w:p>
        </w:tc>
      </w:tr>
      <w:tr w:rsidR="00C90E9A" w:rsidRPr="00C90E9A" w14:paraId="5BFFCD3C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790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C9F4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86.14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7480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5.31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2AB2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9A20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0.57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7E9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0.54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2CD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009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48.59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259B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4.38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8959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4.73</w:t>
            </w:r>
          </w:p>
        </w:tc>
      </w:tr>
      <w:tr w:rsidR="00C90E9A" w:rsidRPr="00C90E9A" w14:paraId="72A1389A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4F95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10B3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85.85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6962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4.97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C3F2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F19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0.54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A73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0.35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D600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A2DB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50.84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71C5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4.31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4D9B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5.38</w:t>
            </w:r>
          </w:p>
        </w:tc>
      </w:tr>
      <w:tr w:rsidR="00C90E9A" w:rsidRPr="00C90E9A" w14:paraId="6BC29DB2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718B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B63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85.37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2CB5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5.11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00D5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0.17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C690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0.52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84AF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0.48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2FDF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796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51.10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DDDE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3.86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C80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5.53</w:t>
            </w:r>
          </w:p>
        </w:tc>
      </w:tr>
      <w:tr w:rsidR="00C90E9A" w:rsidRPr="00C90E9A" w14:paraId="1B0AB322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A2F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2009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77F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84.02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E19A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5.84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AFBB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0.43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6A2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0.62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5679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0.70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46F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0218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54.19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36A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4.26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4A4F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5.72</w:t>
            </w:r>
          </w:p>
        </w:tc>
      </w:tr>
      <w:tr w:rsidR="00C90E9A" w:rsidRPr="00C90E9A" w14:paraId="2A57EC7D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F18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6BAA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82.40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307F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6.42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6CE0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0.36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A73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0.62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BAA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0.83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720F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77A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55.24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F39A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3.92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26FF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6.18</w:t>
            </w:r>
          </w:p>
        </w:tc>
      </w:tr>
      <w:tr w:rsidR="00C90E9A" w:rsidRPr="00C90E9A" w14:paraId="48768F50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47D0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A63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81.80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79E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6.17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584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0.25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6375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0.59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3F0A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1.27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640A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7B59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54.59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C32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3.70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5D0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6.29</w:t>
            </w:r>
          </w:p>
        </w:tc>
      </w:tr>
      <w:tr w:rsidR="00C90E9A" w:rsidRPr="00C90E9A" w14:paraId="18655ECD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CBA1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919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81.07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21B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5.99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D9C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0.18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6EC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0.53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86B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1.64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B35B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8F9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53.83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C0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4.09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716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6.88</w:t>
            </w:r>
          </w:p>
        </w:tc>
      </w:tr>
      <w:tr w:rsidR="00C90E9A" w:rsidRPr="00C90E9A" w14:paraId="5D529E6D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A4E9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283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81.02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3202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6.28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30A5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0.16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1370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A64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1.85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A021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E8C2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51.92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1AF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4.32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44CF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6.59</w:t>
            </w:r>
          </w:p>
        </w:tc>
      </w:tr>
      <w:tr w:rsidR="00C90E9A" w:rsidRPr="00C90E9A" w14:paraId="42E87FF3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A4B9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20F9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81.33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F382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5.77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903A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0.11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DE4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0.46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4880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1.24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0FE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A34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53.01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A18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7D80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6.01</w:t>
            </w:r>
          </w:p>
        </w:tc>
      </w:tr>
      <w:tr w:rsidR="00C90E9A" w:rsidRPr="00C90E9A" w14:paraId="19AAEACB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6F0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6DD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80.13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81D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4.80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E4A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BD4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27D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1.08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0A8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7EB8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53.07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14D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3.31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28B8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5.60</w:t>
            </w:r>
          </w:p>
        </w:tc>
      </w:tr>
      <w:tr w:rsidR="00C90E9A" w:rsidRPr="00C90E9A" w14:paraId="2F7D66C5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4051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43B5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80.33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6042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3.63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6DD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7F5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0.32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08F3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0.99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16E9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D12C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53.35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475F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2.79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DECE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5.16</w:t>
            </w:r>
          </w:p>
        </w:tc>
      </w:tr>
      <w:tr w:rsidR="00C90E9A" w:rsidRPr="00C90E9A" w14:paraId="5CD5C8EA" w14:textId="77777777" w:rsidTr="00C90E9A">
        <w:trPr>
          <w:trHeight w:val="245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568D" w14:textId="3531CBF4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2017</w:t>
            </w:r>
            <w:r w:rsidR="002F0204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p/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47E6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79.68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12F4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2.52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F0AA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4AF4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0.26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380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0.79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1FAA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0.04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7C4D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52.38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4AA7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2.23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9062" w14:textId="77777777" w:rsidR="00C90E9A" w:rsidRPr="00C90E9A" w:rsidRDefault="00C90E9A" w:rsidP="00C90E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4.57</w:t>
            </w:r>
          </w:p>
        </w:tc>
      </w:tr>
      <w:tr w:rsidR="00C90E9A" w:rsidRPr="00C90E9A" w14:paraId="04A385D4" w14:textId="77777777" w:rsidTr="00C90E9A">
        <w:trPr>
          <w:trHeight w:val="245"/>
        </w:trPr>
        <w:tc>
          <w:tcPr>
            <w:tcW w:w="3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AB3D" w14:textId="63143342" w:rsidR="00C90E9A" w:rsidRPr="00C90E9A" w:rsidRDefault="002F0204" w:rsidP="00C90E9A">
            <w:pPr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 xml:space="preserve">p/ </w:t>
            </w:r>
            <w:r w:rsidR="00C90E9A" w:rsidRPr="00C90E9A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Cifras preliminares a partir de 2017.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0673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2199" w14:textId="77777777" w:rsidR="00C90E9A" w:rsidRPr="00C90E9A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D0CA" w14:textId="77777777" w:rsidR="00C90E9A" w:rsidRPr="00C90E9A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7F91" w14:textId="77777777" w:rsidR="00C90E9A" w:rsidRPr="00C90E9A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C1A2" w14:textId="77777777" w:rsidR="00C90E9A" w:rsidRPr="00C90E9A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2EA1" w14:textId="77777777" w:rsidR="00C90E9A" w:rsidRPr="00C90E9A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BAF8" w14:textId="77777777" w:rsidR="00C90E9A" w:rsidRPr="00C90E9A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</w:tr>
      <w:tr w:rsidR="00C90E9A" w:rsidRPr="00C90E9A" w14:paraId="6AF6008B" w14:textId="77777777" w:rsidTr="00C90E9A">
        <w:trPr>
          <w:trHeight w:val="257"/>
        </w:trPr>
        <w:tc>
          <w:tcPr>
            <w:tcW w:w="50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1BF4E" w14:textId="53212CA6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C90E9A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Fuente: INEE, cálculos con base</w:t>
            </w:r>
            <w:r w:rsidR="002F0204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 xml:space="preserve"> en</w:t>
            </w:r>
            <w:r w:rsidRPr="00C90E9A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 xml:space="preserve"> PIB y Cuentas Nacionales (</w:t>
            </w:r>
            <w:r w:rsidR="002F0204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INEGI</w:t>
            </w:r>
            <w:r w:rsidRPr="00C90E9A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, 2018</w:t>
            </w:r>
            <w:r w:rsidR="00D7704B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d</w:t>
            </w:r>
            <w:r w:rsidRPr="00C90E9A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).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4CA09" w14:textId="77777777" w:rsidR="00C90E9A" w:rsidRPr="00C90E9A" w:rsidRDefault="00C90E9A" w:rsidP="00C90E9A">
            <w:pPr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785AC" w14:textId="77777777" w:rsidR="00C90E9A" w:rsidRPr="00C90E9A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FFF7C" w14:textId="77777777" w:rsidR="00C90E9A" w:rsidRPr="00C90E9A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91662" w14:textId="77777777" w:rsidR="00C90E9A" w:rsidRPr="00C90E9A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C7B62" w14:textId="77777777" w:rsidR="00C90E9A" w:rsidRPr="00C90E9A" w:rsidRDefault="00C90E9A" w:rsidP="00C90E9A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</w:tr>
    </w:tbl>
    <w:p w14:paraId="0B108689" w14:textId="77777777" w:rsidR="001A4CDC" w:rsidRPr="00C90E9A" w:rsidRDefault="001A4CDC" w:rsidP="00754345">
      <w:pPr>
        <w:rPr>
          <w:rFonts w:cs="Arial"/>
          <w:sz w:val="16"/>
          <w:szCs w:val="16"/>
          <w:lang w:val="es-MX"/>
        </w:rPr>
      </w:pPr>
    </w:p>
    <w:sectPr w:rsidR="001A4CDC" w:rsidRPr="00C90E9A" w:rsidSect="00147E4E">
      <w:pgSz w:w="12242" w:h="15842" w:code="11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1E9"/>
    <w:rsid w:val="00001379"/>
    <w:rsid w:val="000057C3"/>
    <w:rsid w:val="00006388"/>
    <w:rsid w:val="00015B2D"/>
    <w:rsid w:val="0002095A"/>
    <w:rsid w:val="00025194"/>
    <w:rsid w:val="00026151"/>
    <w:rsid w:val="00027292"/>
    <w:rsid w:val="000273CE"/>
    <w:rsid w:val="00027981"/>
    <w:rsid w:val="00031EE8"/>
    <w:rsid w:val="000347B0"/>
    <w:rsid w:val="00036C2B"/>
    <w:rsid w:val="00044B9B"/>
    <w:rsid w:val="000506D6"/>
    <w:rsid w:val="0005679F"/>
    <w:rsid w:val="000717AE"/>
    <w:rsid w:val="0007240A"/>
    <w:rsid w:val="00084558"/>
    <w:rsid w:val="00087813"/>
    <w:rsid w:val="000971BB"/>
    <w:rsid w:val="000A1439"/>
    <w:rsid w:val="000B3B29"/>
    <w:rsid w:val="000D248D"/>
    <w:rsid w:val="000D342C"/>
    <w:rsid w:val="000D3674"/>
    <w:rsid w:val="000E16A3"/>
    <w:rsid w:val="000E20C1"/>
    <w:rsid w:val="000E388A"/>
    <w:rsid w:val="000E40C8"/>
    <w:rsid w:val="000F0225"/>
    <w:rsid w:val="000F1174"/>
    <w:rsid w:val="000F41A8"/>
    <w:rsid w:val="000F617B"/>
    <w:rsid w:val="000F7240"/>
    <w:rsid w:val="00110265"/>
    <w:rsid w:val="001125E5"/>
    <w:rsid w:val="00112B94"/>
    <w:rsid w:val="00114EBC"/>
    <w:rsid w:val="00117C2E"/>
    <w:rsid w:val="00121797"/>
    <w:rsid w:val="00127786"/>
    <w:rsid w:val="00132B57"/>
    <w:rsid w:val="00134BBC"/>
    <w:rsid w:val="00137BB9"/>
    <w:rsid w:val="00146EC3"/>
    <w:rsid w:val="00147E4E"/>
    <w:rsid w:val="001513A9"/>
    <w:rsid w:val="001518BC"/>
    <w:rsid w:val="001526B0"/>
    <w:rsid w:val="00154497"/>
    <w:rsid w:val="00156BB5"/>
    <w:rsid w:val="00160F7B"/>
    <w:rsid w:val="00163EF4"/>
    <w:rsid w:val="00167428"/>
    <w:rsid w:val="00167721"/>
    <w:rsid w:val="00170B94"/>
    <w:rsid w:val="001736F7"/>
    <w:rsid w:val="00184D89"/>
    <w:rsid w:val="001878FC"/>
    <w:rsid w:val="00190E28"/>
    <w:rsid w:val="00191C50"/>
    <w:rsid w:val="00195F13"/>
    <w:rsid w:val="00197E45"/>
    <w:rsid w:val="001A0F0F"/>
    <w:rsid w:val="001A309E"/>
    <w:rsid w:val="001A3C15"/>
    <w:rsid w:val="001A4CCC"/>
    <w:rsid w:val="001A4CDC"/>
    <w:rsid w:val="001B1213"/>
    <w:rsid w:val="001C2F4F"/>
    <w:rsid w:val="001C31DD"/>
    <w:rsid w:val="001C3B87"/>
    <w:rsid w:val="001C61A9"/>
    <w:rsid w:val="001C6DA3"/>
    <w:rsid w:val="001D10A4"/>
    <w:rsid w:val="001D3136"/>
    <w:rsid w:val="001D4DE0"/>
    <w:rsid w:val="001D50F3"/>
    <w:rsid w:val="001D60E6"/>
    <w:rsid w:val="001D785B"/>
    <w:rsid w:val="001E10ED"/>
    <w:rsid w:val="001E41A7"/>
    <w:rsid w:val="001F09CA"/>
    <w:rsid w:val="001F1DFC"/>
    <w:rsid w:val="002062A8"/>
    <w:rsid w:val="00207294"/>
    <w:rsid w:val="002101F0"/>
    <w:rsid w:val="00210299"/>
    <w:rsid w:val="00210619"/>
    <w:rsid w:val="0021124C"/>
    <w:rsid w:val="0021287D"/>
    <w:rsid w:val="00213601"/>
    <w:rsid w:val="00214FA8"/>
    <w:rsid w:val="002158D6"/>
    <w:rsid w:val="00215B45"/>
    <w:rsid w:val="00222BAE"/>
    <w:rsid w:val="00222CE7"/>
    <w:rsid w:val="00223C5B"/>
    <w:rsid w:val="00224633"/>
    <w:rsid w:val="00227524"/>
    <w:rsid w:val="00232614"/>
    <w:rsid w:val="00232A8D"/>
    <w:rsid w:val="00234D94"/>
    <w:rsid w:val="00236F80"/>
    <w:rsid w:val="00240D80"/>
    <w:rsid w:val="00242743"/>
    <w:rsid w:val="00242A1D"/>
    <w:rsid w:val="002455BE"/>
    <w:rsid w:val="002537A5"/>
    <w:rsid w:val="00253DE5"/>
    <w:rsid w:val="0025418D"/>
    <w:rsid w:val="00255D5C"/>
    <w:rsid w:val="0025635B"/>
    <w:rsid w:val="00260790"/>
    <w:rsid w:val="0026312F"/>
    <w:rsid w:val="002636D3"/>
    <w:rsid w:val="00263C9D"/>
    <w:rsid w:val="0026418C"/>
    <w:rsid w:val="00271326"/>
    <w:rsid w:val="00276A36"/>
    <w:rsid w:val="00276DAA"/>
    <w:rsid w:val="0027720D"/>
    <w:rsid w:val="00287B23"/>
    <w:rsid w:val="00295258"/>
    <w:rsid w:val="00295325"/>
    <w:rsid w:val="0029652B"/>
    <w:rsid w:val="002A23A5"/>
    <w:rsid w:val="002B294C"/>
    <w:rsid w:val="002B4876"/>
    <w:rsid w:val="002C581A"/>
    <w:rsid w:val="002C7037"/>
    <w:rsid w:val="002E0870"/>
    <w:rsid w:val="002F0204"/>
    <w:rsid w:val="002F0DE0"/>
    <w:rsid w:val="002F0E24"/>
    <w:rsid w:val="002F2F7A"/>
    <w:rsid w:val="002F53FF"/>
    <w:rsid w:val="00307E52"/>
    <w:rsid w:val="003143FE"/>
    <w:rsid w:val="00322B02"/>
    <w:rsid w:val="00322E6D"/>
    <w:rsid w:val="003231A3"/>
    <w:rsid w:val="00325532"/>
    <w:rsid w:val="003309F0"/>
    <w:rsid w:val="00331700"/>
    <w:rsid w:val="003359F4"/>
    <w:rsid w:val="00335BED"/>
    <w:rsid w:val="00336180"/>
    <w:rsid w:val="003361DC"/>
    <w:rsid w:val="00337030"/>
    <w:rsid w:val="003401AE"/>
    <w:rsid w:val="0034513F"/>
    <w:rsid w:val="00347133"/>
    <w:rsid w:val="00374C51"/>
    <w:rsid w:val="00376315"/>
    <w:rsid w:val="00390CCD"/>
    <w:rsid w:val="00392E32"/>
    <w:rsid w:val="00395663"/>
    <w:rsid w:val="003A709E"/>
    <w:rsid w:val="003B1CB2"/>
    <w:rsid w:val="003B20DF"/>
    <w:rsid w:val="003B24C9"/>
    <w:rsid w:val="003B3690"/>
    <w:rsid w:val="003B6559"/>
    <w:rsid w:val="003B6901"/>
    <w:rsid w:val="003C1F5C"/>
    <w:rsid w:val="003C3ED8"/>
    <w:rsid w:val="003C590C"/>
    <w:rsid w:val="003C70C9"/>
    <w:rsid w:val="003C7372"/>
    <w:rsid w:val="003C7DFE"/>
    <w:rsid w:val="003D1384"/>
    <w:rsid w:val="003D2F81"/>
    <w:rsid w:val="003D33C3"/>
    <w:rsid w:val="003D430F"/>
    <w:rsid w:val="003E01A9"/>
    <w:rsid w:val="003E2C0D"/>
    <w:rsid w:val="003E2CE9"/>
    <w:rsid w:val="003E3464"/>
    <w:rsid w:val="003E3A85"/>
    <w:rsid w:val="003E6504"/>
    <w:rsid w:val="003E66CD"/>
    <w:rsid w:val="003F1446"/>
    <w:rsid w:val="003F3269"/>
    <w:rsid w:val="003F35E4"/>
    <w:rsid w:val="004002D7"/>
    <w:rsid w:val="00403311"/>
    <w:rsid w:val="00404C9B"/>
    <w:rsid w:val="004064DA"/>
    <w:rsid w:val="00411344"/>
    <w:rsid w:val="00411745"/>
    <w:rsid w:val="00413930"/>
    <w:rsid w:val="0041400F"/>
    <w:rsid w:val="00416199"/>
    <w:rsid w:val="004329EF"/>
    <w:rsid w:val="004335E1"/>
    <w:rsid w:val="0044047C"/>
    <w:rsid w:val="00441E76"/>
    <w:rsid w:val="004428CE"/>
    <w:rsid w:val="0044403A"/>
    <w:rsid w:val="00447478"/>
    <w:rsid w:val="004502EA"/>
    <w:rsid w:val="00453FBF"/>
    <w:rsid w:val="004600A7"/>
    <w:rsid w:val="00463FE0"/>
    <w:rsid w:val="00464469"/>
    <w:rsid w:val="0046604D"/>
    <w:rsid w:val="00470C35"/>
    <w:rsid w:val="00471792"/>
    <w:rsid w:val="00483C05"/>
    <w:rsid w:val="00491E11"/>
    <w:rsid w:val="00495145"/>
    <w:rsid w:val="00496FCD"/>
    <w:rsid w:val="004A307F"/>
    <w:rsid w:val="004A6FDD"/>
    <w:rsid w:val="004B160F"/>
    <w:rsid w:val="004C25E7"/>
    <w:rsid w:val="004C561F"/>
    <w:rsid w:val="004C5BC6"/>
    <w:rsid w:val="004D586D"/>
    <w:rsid w:val="004D7D1D"/>
    <w:rsid w:val="004E5136"/>
    <w:rsid w:val="004E6FCB"/>
    <w:rsid w:val="004F0ED8"/>
    <w:rsid w:val="004F1579"/>
    <w:rsid w:val="004F1921"/>
    <w:rsid w:val="004F4DF8"/>
    <w:rsid w:val="00502DAE"/>
    <w:rsid w:val="00504B7C"/>
    <w:rsid w:val="005064E0"/>
    <w:rsid w:val="00507FB4"/>
    <w:rsid w:val="0051452D"/>
    <w:rsid w:val="005172D8"/>
    <w:rsid w:val="00526A87"/>
    <w:rsid w:val="0053002E"/>
    <w:rsid w:val="00533D12"/>
    <w:rsid w:val="00534B3E"/>
    <w:rsid w:val="00534C32"/>
    <w:rsid w:val="00535170"/>
    <w:rsid w:val="00540FA8"/>
    <w:rsid w:val="005431CE"/>
    <w:rsid w:val="00546903"/>
    <w:rsid w:val="00551392"/>
    <w:rsid w:val="00554777"/>
    <w:rsid w:val="00555492"/>
    <w:rsid w:val="00562C8D"/>
    <w:rsid w:val="005631E2"/>
    <w:rsid w:val="005666E4"/>
    <w:rsid w:val="00575ACE"/>
    <w:rsid w:val="00583298"/>
    <w:rsid w:val="00584538"/>
    <w:rsid w:val="00591E28"/>
    <w:rsid w:val="005959D8"/>
    <w:rsid w:val="005A148B"/>
    <w:rsid w:val="005A19DD"/>
    <w:rsid w:val="005A1AE3"/>
    <w:rsid w:val="005A672E"/>
    <w:rsid w:val="005A6B9B"/>
    <w:rsid w:val="005C1334"/>
    <w:rsid w:val="005C191A"/>
    <w:rsid w:val="005C1FFE"/>
    <w:rsid w:val="005D2A87"/>
    <w:rsid w:val="005D77D5"/>
    <w:rsid w:val="005E29BE"/>
    <w:rsid w:val="005E44A5"/>
    <w:rsid w:val="005E618F"/>
    <w:rsid w:val="005F3436"/>
    <w:rsid w:val="005F6772"/>
    <w:rsid w:val="00603E80"/>
    <w:rsid w:val="0061137B"/>
    <w:rsid w:val="00611A61"/>
    <w:rsid w:val="00615EFC"/>
    <w:rsid w:val="006203AA"/>
    <w:rsid w:val="0062045B"/>
    <w:rsid w:val="006243D1"/>
    <w:rsid w:val="0063170E"/>
    <w:rsid w:val="00633DE0"/>
    <w:rsid w:val="00635E33"/>
    <w:rsid w:val="00640B5E"/>
    <w:rsid w:val="006437B1"/>
    <w:rsid w:val="006532DE"/>
    <w:rsid w:val="0065722F"/>
    <w:rsid w:val="00657649"/>
    <w:rsid w:val="00660362"/>
    <w:rsid w:val="006634DB"/>
    <w:rsid w:val="00666945"/>
    <w:rsid w:val="00670581"/>
    <w:rsid w:val="0068098A"/>
    <w:rsid w:val="00681607"/>
    <w:rsid w:val="0068301B"/>
    <w:rsid w:val="006836B8"/>
    <w:rsid w:val="0068500E"/>
    <w:rsid w:val="00690677"/>
    <w:rsid w:val="00693BFA"/>
    <w:rsid w:val="00693E03"/>
    <w:rsid w:val="006976FF"/>
    <w:rsid w:val="006A3D65"/>
    <w:rsid w:val="006A70E0"/>
    <w:rsid w:val="006B1CD0"/>
    <w:rsid w:val="006B3784"/>
    <w:rsid w:val="006C07F6"/>
    <w:rsid w:val="006C4B36"/>
    <w:rsid w:val="006C6D2C"/>
    <w:rsid w:val="006C73D1"/>
    <w:rsid w:val="006D008D"/>
    <w:rsid w:val="006D261B"/>
    <w:rsid w:val="006D5E76"/>
    <w:rsid w:val="006D6D6B"/>
    <w:rsid w:val="006F2792"/>
    <w:rsid w:val="006F5649"/>
    <w:rsid w:val="006F7C51"/>
    <w:rsid w:val="00700325"/>
    <w:rsid w:val="007014D9"/>
    <w:rsid w:val="00712CF9"/>
    <w:rsid w:val="00715BD6"/>
    <w:rsid w:val="0072061B"/>
    <w:rsid w:val="0072065A"/>
    <w:rsid w:val="0072088B"/>
    <w:rsid w:val="00724546"/>
    <w:rsid w:val="007275CF"/>
    <w:rsid w:val="00727CAB"/>
    <w:rsid w:val="007307CA"/>
    <w:rsid w:val="0073163F"/>
    <w:rsid w:val="00734D5E"/>
    <w:rsid w:val="00743B8C"/>
    <w:rsid w:val="007467F6"/>
    <w:rsid w:val="00754345"/>
    <w:rsid w:val="007556B1"/>
    <w:rsid w:val="007557CB"/>
    <w:rsid w:val="0075696A"/>
    <w:rsid w:val="00764A7D"/>
    <w:rsid w:val="00766897"/>
    <w:rsid w:val="007678F2"/>
    <w:rsid w:val="007704AB"/>
    <w:rsid w:val="00772180"/>
    <w:rsid w:val="00774F73"/>
    <w:rsid w:val="007756EC"/>
    <w:rsid w:val="00776A98"/>
    <w:rsid w:val="00780266"/>
    <w:rsid w:val="00784621"/>
    <w:rsid w:val="00786683"/>
    <w:rsid w:val="00791DBA"/>
    <w:rsid w:val="00791F5A"/>
    <w:rsid w:val="007A313E"/>
    <w:rsid w:val="007A5765"/>
    <w:rsid w:val="007B14FF"/>
    <w:rsid w:val="007B297E"/>
    <w:rsid w:val="007B45A2"/>
    <w:rsid w:val="007B5AE2"/>
    <w:rsid w:val="007C00A3"/>
    <w:rsid w:val="007C413B"/>
    <w:rsid w:val="007C4850"/>
    <w:rsid w:val="007C709E"/>
    <w:rsid w:val="007D06FC"/>
    <w:rsid w:val="007D404E"/>
    <w:rsid w:val="007E085B"/>
    <w:rsid w:val="007E1B77"/>
    <w:rsid w:val="007E25EC"/>
    <w:rsid w:val="007E55F0"/>
    <w:rsid w:val="007E586A"/>
    <w:rsid w:val="007E6084"/>
    <w:rsid w:val="007F03E4"/>
    <w:rsid w:val="007F2092"/>
    <w:rsid w:val="007F2C3E"/>
    <w:rsid w:val="00803ABC"/>
    <w:rsid w:val="00804512"/>
    <w:rsid w:val="00804C4A"/>
    <w:rsid w:val="00813D3A"/>
    <w:rsid w:val="00817F57"/>
    <w:rsid w:val="008243CE"/>
    <w:rsid w:val="008259AE"/>
    <w:rsid w:val="008428BB"/>
    <w:rsid w:val="0084571F"/>
    <w:rsid w:val="008461ED"/>
    <w:rsid w:val="00853EAA"/>
    <w:rsid w:val="00854A6D"/>
    <w:rsid w:val="0085523B"/>
    <w:rsid w:val="0085568A"/>
    <w:rsid w:val="008602E4"/>
    <w:rsid w:val="0086156B"/>
    <w:rsid w:val="008618ED"/>
    <w:rsid w:val="00864AB0"/>
    <w:rsid w:val="00866732"/>
    <w:rsid w:val="00872F0A"/>
    <w:rsid w:val="0087350C"/>
    <w:rsid w:val="008832A4"/>
    <w:rsid w:val="008919BA"/>
    <w:rsid w:val="0089222A"/>
    <w:rsid w:val="00895B50"/>
    <w:rsid w:val="00896EAC"/>
    <w:rsid w:val="00897D38"/>
    <w:rsid w:val="008A23DB"/>
    <w:rsid w:val="008A40EF"/>
    <w:rsid w:val="008A56F3"/>
    <w:rsid w:val="008A6C8C"/>
    <w:rsid w:val="008A6CD0"/>
    <w:rsid w:val="008B1F4C"/>
    <w:rsid w:val="008B6310"/>
    <w:rsid w:val="008C0133"/>
    <w:rsid w:val="008C0951"/>
    <w:rsid w:val="008C2070"/>
    <w:rsid w:val="008D22A6"/>
    <w:rsid w:val="008D28A7"/>
    <w:rsid w:val="008D4A7D"/>
    <w:rsid w:val="008D5DBD"/>
    <w:rsid w:val="008E1B44"/>
    <w:rsid w:val="008E38B2"/>
    <w:rsid w:val="008E3CFB"/>
    <w:rsid w:val="008F254E"/>
    <w:rsid w:val="008F2E98"/>
    <w:rsid w:val="008F3278"/>
    <w:rsid w:val="00903529"/>
    <w:rsid w:val="00904F02"/>
    <w:rsid w:val="009053F6"/>
    <w:rsid w:val="009057BD"/>
    <w:rsid w:val="00912A3B"/>
    <w:rsid w:val="009165E6"/>
    <w:rsid w:val="009339E9"/>
    <w:rsid w:val="00933F76"/>
    <w:rsid w:val="00940716"/>
    <w:rsid w:val="0094487B"/>
    <w:rsid w:val="00950812"/>
    <w:rsid w:val="009510F4"/>
    <w:rsid w:val="009561B5"/>
    <w:rsid w:val="00957437"/>
    <w:rsid w:val="00957C46"/>
    <w:rsid w:val="009600A3"/>
    <w:rsid w:val="009648CB"/>
    <w:rsid w:val="00965F32"/>
    <w:rsid w:val="00966F38"/>
    <w:rsid w:val="009673A2"/>
    <w:rsid w:val="009676A9"/>
    <w:rsid w:val="00970571"/>
    <w:rsid w:val="00975C94"/>
    <w:rsid w:val="00976403"/>
    <w:rsid w:val="00977F60"/>
    <w:rsid w:val="009803FD"/>
    <w:rsid w:val="0098115D"/>
    <w:rsid w:val="009858BE"/>
    <w:rsid w:val="00990D89"/>
    <w:rsid w:val="00994FE9"/>
    <w:rsid w:val="009A12C5"/>
    <w:rsid w:val="009A63AD"/>
    <w:rsid w:val="009A76F6"/>
    <w:rsid w:val="009B12E1"/>
    <w:rsid w:val="009B199E"/>
    <w:rsid w:val="009B5512"/>
    <w:rsid w:val="009B649A"/>
    <w:rsid w:val="009B7F68"/>
    <w:rsid w:val="009C0FB7"/>
    <w:rsid w:val="009C6E87"/>
    <w:rsid w:val="009D066F"/>
    <w:rsid w:val="009D2EEE"/>
    <w:rsid w:val="009D39BB"/>
    <w:rsid w:val="009D6366"/>
    <w:rsid w:val="009E177B"/>
    <w:rsid w:val="009E1CED"/>
    <w:rsid w:val="009E55F6"/>
    <w:rsid w:val="009E634E"/>
    <w:rsid w:val="009E6647"/>
    <w:rsid w:val="009F0D89"/>
    <w:rsid w:val="009F5233"/>
    <w:rsid w:val="00A0615B"/>
    <w:rsid w:val="00A20A24"/>
    <w:rsid w:val="00A26609"/>
    <w:rsid w:val="00A43AF7"/>
    <w:rsid w:val="00A441A6"/>
    <w:rsid w:val="00A45082"/>
    <w:rsid w:val="00A45B29"/>
    <w:rsid w:val="00A60A94"/>
    <w:rsid w:val="00A61AA2"/>
    <w:rsid w:val="00A62ED8"/>
    <w:rsid w:val="00A66487"/>
    <w:rsid w:val="00A67636"/>
    <w:rsid w:val="00A70AC0"/>
    <w:rsid w:val="00A748D7"/>
    <w:rsid w:val="00A76988"/>
    <w:rsid w:val="00A77CC3"/>
    <w:rsid w:val="00A82BF6"/>
    <w:rsid w:val="00A93FF1"/>
    <w:rsid w:val="00A94140"/>
    <w:rsid w:val="00AA0662"/>
    <w:rsid w:val="00AA1234"/>
    <w:rsid w:val="00AA24BF"/>
    <w:rsid w:val="00AB31E9"/>
    <w:rsid w:val="00AB387A"/>
    <w:rsid w:val="00AB407E"/>
    <w:rsid w:val="00AC1085"/>
    <w:rsid w:val="00AC1AC9"/>
    <w:rsid w:val="00AC5646"/>
    <w:rsid w:val="00AC7FD0"/>
    <w:rsid w:val="00AD1F73"/>
    <w:rsid w:val="00AD36AB"/>
    <w:rsid w:val="00AD569E"/>
    <w:rsid w:val="00AE0A2D"/>
    <w:rsid w:val="00AE1792"/>
    <w:rsid w:val="00AE446A"/>
    <w:rsid w:val="00AE5622"/>
    <w:rsid w:val="00AE6268"/>
    <w:rsid w:val="00AE70A1"/>
    <w:rsid w:val="00AF31A1"/>
    <w:rsid w:val="00AF5A17"/>
    <w:rsid w:val="00AF5ADA"/>
    <w:rsid w:val="00AF5F06"/>
    <w:rsid w:val="00AF6E70"/>
    <w:rsid w:val="00B027FE"/>
    <w:rsid w:val="00B115AB"/>
    <w:rsid w:val="00B14E19"/>
    <w:rsid w:val="00B174D6"/>
    <w:rsid w:val="00B17F61"/>
    <w:rsid w:val="00B2016E"/>
    <w:rsid w:val="00B2738F"/>
    <w:rsid w:val="00B27971"/>
    <w:rsid w:val="00B310F0"/>
    <w:rsid w:val="00B310FE"/>
    <w:rsid w:val="00B3433F"/>
    <w:rsid w:val="00B360DF"/>
    <w:rsid w:val="00B53271"/>
    <w:rsid w:val="00B55AFF"/>
    <w:rsid w:val="00B55B7A"/>
    <w:rsid w:val="00B56A79"/>
    <w:rsid w:val="00B6626A"/>
    <w:rsid w:val="00B72558"/>
    <w:rsid w:val="00B754F0"/>
    <w:rsid w:val="00B808DE"/>
    <w:rsid w:val="00B84189"/>
    <w:rsid w:val="00B8420B"/>
    <w:rsid w:val="00B855D7"/>
    <w:rsid w:val="00B8740E"/>
    <w:rsid w:val="00B8788B"/>
    <w:rsid w:val="00B90A6B"/>
    <w:rsid w:val="00B94531"/>
    <w:rsid w:val="00B97BAA"/>
    <w:rsid w:val="00BA059D"/>
    <w:rsid w:val="00BA6AF1"/>
    <w:rsid w:val="00BA74BC"/>
    <w:rsid w:val="00BC34C8"/>
    <w:rsid w:val="00BC4D55"/>
    <w:rsid w:val="00BC6F2D"/>
    <w:rsid w:val="00BD6A36"/>
    <w:rsid w:val="00BF0987"/>
    <w:rsid w:val="00BF0D08"/>
    <w:rsid w:val="00BF31F6"/>
    <w:rsid w:val="00BF7493"/>
    <w:rsid w:val="00C0095E"/>
    <w:rsid w:val="00C13573"/>
    <w:rsid w:val="00C13E15"/>
    <w:rsid w:val="00C153CE"/>
    <w:rsid w:val="00C16A04"/>
    <w:rsid w:val="00C17976"/>
    <w:rsid w:val="00C17F55"/>
    <w:rsid w:val="00C214B8"/>
    <w:rsid w:val="00C2322D"/>
    <w:rsid w:val="00C25257"/>
    <w:rsid w:val="00C30C22"/>
    <w:rsid w:val="00C32F2C"/>
    <w:rsid w:val="00C34619"/>
    <w:rsid w:val="00C43A96"/>
    <w:rsid w:val="00C45699"/>
    <w:rsid w:val="00C533B4"/>
    <w:rsid w:val="00C6733E"/>
    <w:rsid w:val="00C708BB"/>
    <w:rsid w:val="00C70AC3"/>
    <w:rsid w:val="00C73342"/>
    <w:rsid w:val="00C76780"/>
    <w:rsid w:val="00C7751F"/>
    <w:rsid w:val="00C90E9A"/>
    <w:rsid w:val="00C915F2"/>
    <w:rsid w:val="00C93481"/>
    <w:rsid w:val="00C957EB"/>
    <w:rsid w:val="00CA090F"/>
    <w:rsid w:val="00CB4984"/>
    <w:rsid w:val="00CC3A57"/>
    <w:rsid w:val="00CC546B"/>
    <w:rsid w:val="00CD436E"/>
    <w:rsid w:val="00CE01E8"/>
    <w:rsid w:val="00CE5CFE"/>
    <w:rsid w:val="00CE68E7"/>
    <w:rsid w:val="00CE78F6"/>
    <w:rsid w:val="00CF2274"/>
    <w:rsid w:val="00CF553A"/>
    <w:rsid w:val="00D068D9"/>
    <w:rsid w:val="00D21A7A"/>
    <w:rsid w:val="00D32BF4"/>
    <w:rsid w:val="00D33EB2"/>
    <w:rsid w:val="00D44400"/>
    <w:rsid w:val="00D4538F"/>
    <w:rsid w:val="00D46D31"/>
    <w:rsid w:val="00D52059"/>
    <w:rsid w:val="00D60699"/>
    <w:rsid w:val="00D67358"/>
    <w:rsid w:val="00D7704B"/>
    <w:rsid w:val="00D804F7"/>
    <w:rsid w:val="00D82060"/>
    <w:rsid w:val="00D841FE"/>
    <w:rsid w:val="00D86EE0"/>
    <w:rsid w:val="00D951DF"/>
    <w:rsid w:val="00DA2D32"/>
    <w:rsid w:val="00DA5118"/>
    <w:rsid w:val="00DB1092"/>
    <w:rsid w:val="00DB522C"/>
    <w:rsid w:val="00DC6A01"/>
    <w:rsid w:val="00DC708D"/>
    <w:rsid w:val="00DC70D5"/>
    <w:rsid w:val="00DC7ABC"/>
    <w:rsid w:val="00DD7B62"/>
    <w:rsid w:val="00DE2232"/>
    <w:rsid w:val="00DE2B6B"/>
    <w:rsid w:val="00DE4521"/>
    <w:rsid w:val="00DE578B"/>
    <w:rsid w:val="00DE61DD"/>
    <w:rsid w:val="00DE6BE0"/>
    <w:rsid w:val="00DF6EEC"/>
    <w:rsid w:val="00E0180E"/>
    <w:rsid w:val="00E01E82"/>
    <w:rsid w:val="00E02B6C"/>
    <w:rsid w:val="00E069E8"/>
    <w:rsid w:val="00E077C2"/>
    <w:rsid w:val="00E07DD5"/>
    <w:rsid w:val="00E1200B"/>
    <w:rsid w:val="00E135B0"/>
    <w:rsid w:val="00E15676"/>
    <w:rsid w:val="00E179A4"/>
    <w:rsid w:val="00E23161"/>
    <w:rsid w:val="00E25F4A"/>
    <w:rsid w:val="00E344FA"/>
    <w:rsid w:val="00E362C0"/>
    <w:rsid w:val="00E4569A"/>
    <w:rsid w:val="00E471B6"/>
    <w:rsid w:val="00E55702"/>
    <w:rsid w:val="00E5689C"/>
    <w:rsid w:val="00E57C73"/>
    <w:rsid w:val="00E60A62"/>
    <w:rsid w:val="00E60AB3"/>
    <w:rsid w:val="00E629A1"/>
    <w:rsid w:val="00E6655A"/>
    <w:rsid w:val="00E67962"/>
    <w:rsid w:val="00E67A10"/>
    <w:rsid w:val="00E67ED7"/>
    <w:rsid w:val="00E70755"/>
    <w:rsid w:val="00E76B24"/>
    <w:rsid w:val="00E80AFB"/>
    <w:rsid w:val="00E83561"/>
    <w:rsid w:val="00E866F2"/>
    <w:rsid w:val="00E96325"/>
    <w:rsid w:val="00E96AA8"/>
    <w:rsid w:val="00EA0F33"/>
    <w:rsid w:val="00EA41DE"/>
    <w:rsid w:val="00EB0AB8"/>
    <w:rsid w:val="00EC19CB"/>
    <w:rsid w:val="00EC2A75"/>
    <w:rsid w:val="00EC2F3B"/>
    <w:rsid w:val="00EC51EC"/>
    <w:rsid w:val="00EC6409"/>
    <w:rsid w:val="00EC7D57"/>
    <w:rsid w:val="00ED0400"/>
    <w:rsid w:val="00ED2D23"/>
    <w:rsid w:val="00ED47CA"/>
    <w:rsid w:val="00ED5DE1"/>
    <w:rsid w:val="00ED622E"/>
    <w:rsid w:val="00ED7702"/>
    <w:rsid w:val="00EE12A6"/>
    <w:rsid w:val="00EE18B4"/>
    <w:rsid w:val="00EE51DA"/>
    <w:rsid w:val="00EE5932"/>
    <w:rsid w:val="00EE6536"/>
    <w:rsid w:val="00EF13F3"/>
    <w:rsid w:val="00EF390A"/>
    <w:rsid w:val="00EF4D4E"/>
    <w:rsid w:val="00F02027"/>
    <w:rsid w:val="00F03A41"/>
    <w:rsid w:val="00F044E8"/>
    <w:rsid w:val="00F118C8"/>
    <w:rsid w:val="00F16F72"/>
    <w:rsid w:val="00F17036"/>
    <w:rsid w:val="00F2495E"/>
    <w:rsid w:val="00F27DDB"/>
    <w:rsid w:val="00F30E47"/>
    <w:rsid w:val="00F40222"/>
    <w:rsid w:val="00F44467"/>
    <w:rsid w:val="00F44A3C"/>
    <w:rsid w:val="00F470E7"/>
    <w:rsid w:val="00F5191D"/>
    <w:rsid w:val="00F52A19"/>
    <w:rsid w:val="00F551E4"/>
    <w:rsid w:val="00F566F9"/>
    <w:rsid w:val="00F571D5"/>
    <w:rsid w:val="00F66EE1"/>
    <w:rsid w:val="00F67F55"/>
    <w:rsid w:val="00F70D28"/>
    <w:rsid w:val="00F70FFB"/>
    <w:rsid w:val="00F713A4"/>
    <w:rsid w:val="00F92607"/>
    <w:rsid w:val="00FA37DF"/>
    <w:rsid w:val="00FC0908"/>
    <w:rsid w:val="00FC4373"/>
    <w:rsid w:val="00FC4ED7"/>
    <w:rsid w:val="00FC56D5"/>
    <w:rsid w:val="00FD2CF5"/>
    <w:rsid w:val="00FD4E57"/>
    <w:rsid w:val="00FE3291"/>
    <w:rsid w:val="00FE6084"/>
    <w:rsid w:val="00FF181A"/>
    <w:rsid w:val="00FF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A1BDAB"/>
  <w15:docId w15:val="{BD195CDE-8C69-466A-9244-553FBEB93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1E9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712CF9"/>
    <w:rPr>
      <w:rFonts w:ascii="Cambria" w:hAnsi="Cambria" w:cs="Times New Roman"/>
      <w:b/>
      <w:bCs/>
      <w:sz w:val="26"/>
      <w:szCs w:val="2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B31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712CF9"/>
    <w:rPr>
      <w:rFonts w:ascii="Arial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AB31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2E08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712CF9"/>
    <w:rPr>
      <w:rFonts w:cs="Times New Roman"/>
      <w:sz w:val="2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rsid w:val="00263C9D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263C9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712CF9"/>
    <w:rPr>
      <w:rFonts w:ascii="Arial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63C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712CF9"/>
    <w:rPr>
      <w:rFonts w:ascii="Arial" w:hAnsi="Arial" w:cs="Times New Roman"/>
      <w:b/>
      <w:bCs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rsid w:val="00DC708D"/>
    <w:rPr>
      <w:rFonts w:cs="Times New Roman"/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5568A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F44A3C"/>
    <w:rPr>
      <w:color w:val="808080"/>
    </w:rPr>
  </w:style>
  <w:style w:type="paragraph" w:styleId="Revisin">
    <w:name w:val="Revision"/>
    <w:hidden/>
    <w:uiPriority w:val="99"/>
    <w:semiHidden/>
    <w:rsid w:val="00F16F72"/>
    <w:rPr>
      <w:rFonts w:ascii="Arial" w:hAnsi="Arial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4002D7"/>
    <w:pPr>
      <w:spacing w:before="100" w:beforeAutospacing="1" w:after="100" w:afterAutospacing="1"/>
    </w:pPr>
    <w:rPr>
      <w:rFonts w:ascii="Times New Roman" w:hAnsi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49922-753A-460A-AF44-2D4659A6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4294931848</TotalTime>
  <Pages>3</Pages>
  <Words>819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CS04a Porcentaje de hogares con hijos* en edad escolar normativa básica según máximo nivel educativo alcanzado por el jefe del hogar o su cónyuge (2000 y 2005)</vt:lpstr>
    </vt:vector>
  </TitlesOfParts>
  <Company>INEE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CS04a Porcentaje de hogares con hijos* en edad escolar normativa básica según máximo nivel educativo alcanzado por el jefe del hogar o su cónyuge (2000 y 2005)</dc:title>
  <dc:creator>Mariel Escobar</dc:creator>
  <cp:lastModifiedBy>NAA</cp:lastModifiedBy>
  <cp:revision>107</cp:revision>
  <cp:lastPrinted>2016-05-10T18:24:00Z</cp:lastPrinted>
  <dcterms:created xsi:type="dcterms:W3CDTF">2016-05-10T17:06:00Z</dcterms:created>
  <dcterms:modified xsi:type="dcterms:W3CDTF">2019-05-27T15:28:00Z</dcterms:modified>
</cp:coreProperties>
</file>