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C6ED67" w14:textId="046397F7" w:rsidR="00BC4F70" w:rsidRDefault="006D5A55" w:rsidP="00BC4F70">
      <w:r>
        <w:rPr>
          <w:rFonts w:cs="Arial"/>
          <w:noProof/>
          <w:sz w:val="16"/>
          <w:szCs w:val="16"/>
          <w:lang w:val="es-419" w:eastAsia="es-419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398590F" wp14:editId="51E5CA7B">
                <wp:simplePos x="0" y="0"/>
                <wp:positionH relativeFrom="column">
                  <wp:posOffset>133985</wp:posOffset>
                </wp:positionH>
                <wp:positionV relativeFrom="paragraph">
                  <wp:posOffset>-62230</wp:posOffset>
                </wp:positionV>
                <wp:extent cx="685800" cy="234950"/>
                <wp:effectExtent l="0" t="0" r="19050" b="1270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349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94332E1" w14:textId="77777777" w:rsidR="00BC4F70" w:rsidRPr="002A6A4A" w:rsidRDefault="004B33F1" w:rsidP="00E70243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2A6A4A">
                              <w:rPr>
                                <w:b/>
                                <w:sz w:val="20"/>
                                <w:szCs w:val="20"/>
                              </w:rPr>
                              <w:t>AR0</w:t>
                            </w:r>
                            <w:r w:rsidR="00B543F9" w:rsidRPr="002A6A4A">
                              <w:rPr>
                                <w:b/>
                                <w:sz w:val="20"/>
                                <w:szCs w:val="20"/>
                              </w:rPr>
                              <w:t>3</w:t>
                            </w:r>
                            <w:r w:rsidR="00337E6B" w:rsidRPr="002A6A4A">
                              <w:rPr>
                                <w:b/>
                                <w:sz w:val="20"/>
                                <w:szCs w:val="20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398590F" id="AutoShape 2" o:spid="_x0000_s1026" style="position:absolute;margin-left:10.55pt;margin-top:-4.9pt;width:54pt;height:18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">
                <v:textbox inset="1mm,1mm,1mm,1mm">
                  <w:txbxContent>
                    <w:p w14:paraId="194332E1" w14:textId="77777777" w:rsidR="00BC4F70" w:rsidRPr="002A6A4A" w:rsidRDefault="004B33F1" w:rsidP="00E70243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2A6A4A">
                        <w:rPr>
                          <w:b/>
                          <w:sz w:val="20"/>
                          <w:szCs w:val="20"/>
                        </w:rPr>
                        <w:t>AR0</w:t>
                      </w:r>
                      <w:r w:rsidR="00B543F9" w:rsidRPr="002A6A4A">
                        <w:rPr>
                          <w:b/>
                          <w:sz w:val="20"/>
                          <w:szCs w:val="20"/>
                        </w:rPr>
                        <w:t>3</w:t>
                      </w:r>
                      <w:r w:rsidR="00337E6B" w:rsidRPr="002A6A4A">
                        <w:rPr>
                          <w:b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roundrect>
            </w:pict>
          </mc:Fallback>
        </mc:AlternateConten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50"/>
      </w:tblGrid>
      <w:tr w:rsidR="00BC4F70" w:rsidRPr="00D804F7" w14:paraId="37CE7F52" w14:textId="77777777" w:rsidTr="002A6A4A">
        <w:trPr>
          <w:trHeight w:val="698"/>
          <w:jc w:val="center"/>
        </w:trPr>
        <w:tc>
          <w:tcPr>
            <w:tcW w:w="8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E6076" w14:textId="743A235F" w:rsidR="00BC4F70" w:rsidRPr="00E55C5C" w:rsidRDefault="00375136" w:rsidP="00C21904">
            <w:pPr>
              <w:tabs>
                <w:tab w:val="left" w:pos="0"/>
              </w:tabs>
              <w:ind w:right="110"/>
              <w:rPr>
                <w:rFonts w:cs="Arial"/>
                <w:b/>
                <w:bCs/>
                <w:sz w:val="16"/>
                <w:szCs w:val="16"/>
              </w:rPr>
            </w:pPr>
            <w:r w:rsidRPr="00E55C5C">
              <w:rPr>
                <w:rFonts w:cs="Arial"/>
                <w:b/>
                <w:bCs/>
                <w:sz w:val="16"/>
                <w:szCs w:val="16"/>
              </w:rPr>
              <w:t>Nombre del indicador</w:t>
            </w:r>
          </w:p>
          <w:p w14:paraId="361752C1" w14:textId="04E79803" w:rsidR="00BC4F70" w:rsidRPr="00E55C5C" w:rsidRDefault="009479B2" w:rsidP="00140D0F">
            <w:pPr>
              <w:rPr>
                <w:rFonts w:cs="Arial"/>
                <w:bCs/>
                <w:sz w:val="16"/>
                <w:szCs w:val="16"/>
              </w:rPr>
            </w:pPr>
            <w:r w:rsidRPr="00E55C5C">
              <w:rPr>
                <w:rFonts w:cs="Arial"/>
                <w:bCs/>
                <w:sz w:val="16"/>
                <w:szCs w:val="16"/>
              </w:rPr>
              <w:t xml:space="preserve">Gasto </w:t>
            </w:r>
            <w:r w:rsidR="002328DC" w:rsidRPr="00E55C5C">
              <w:rPr>
                <w:rFonts w:cs="Arial"/>
                <w:bCs/>
                <w:sz w:val="16"/>
                <w:szCs w:val="16"/>
              </w:rPr>
              <w:t>N</w:t>
            </w:r>
            <w:r w:rsidRPr="00E55C5C">
              <w:rPr>
                <w:rFonts w:cs="Arial"/>
                <w:bCs/>
                <w:sz w:val="16"/>
                <w:szCs w:val="16"/>
              </w:rPr>
              <w:t xml:space="preserve">acional en </w:t>
            </w:r>
            <w:r w:rsidR="002328DC" w:rsidRPr="00E55C5C">
              <w:rPr>
                <w:rFonts w:cs="Arial"/>
                <w:bCs/>
                <w:sz w:val="16"/>
                <w:szCs w:val="16"/>
              </w:rPr>
              <w:t>E</w:t>
            </w:r>
            <w:r w:rsidRPr="00E55C5C">
              <w:rPr>
                <w:rFonts w:cs="Arial"/>
                <w:bCs/>
                <w:sz w:val="16"/>
                <w:szCs w:val="16"/>
              </w:rPr>
              <w:t xml:space="preserve">ducación total </w:t>
            </w:r>
            <w:r w:rsidR="004B33F1" w:rsidRPr="00E55C5C">
              <w:rPr>
                <w:rFonts w:cs="Arial"/>
                <w:bCs/>
                <w:sz w:val="16"/>
                <w:szCs w:val="16"/>
              </w:rPr>
              <w:t xml:space="preserve">y </w:t>
            </w:r>
            <w:r w:rsidR="00EE3A7E" w:rsidRPr="00E55C5C">
              <w:rPr>
                <w:rFonts w:cs="Arial"/>
                <w:bCs/>
                <w:sz w:val="16"/>
                <w:szCs w:val="16"/>
              </w:rPr>
              <w:t>relativo al</w:t>
            </w:r>
            <w:r w:rsidR="004B33F1" w:rsidRPr="00E55C5C">
              <w:rPr>
                <w:rFonts w:cs="Arial"/>
                <w:bCs/>
                <w:sz w:val="16"/>
                <w:szCs w:val="16"/>
              </w:rPr>
              <w:t xml:space="preserve"> P</w:t>
            </w:r>
            <w:r w:rsidR="00A06423" w:rsidRPr="00E55C5C">
              <w:rPr>
                <w:rFonts w:cs="Arial"/>
                <w:bCs/>
                <w:sz w:val="16"/>
                <w:szCs w:val="16"/>
              </w:rPr>
              <w:t xml:space="preserve">roducto </w:t>
            </w:r>
            <w:r w:rsidR="004B33F1" w:rsidRPr="00E55C5C">
              <w:rPr>
                <w:rFonts w:cs="Arial"/>
                <w:bCs/>
                <w:sz w:val="16"/>
                <w:szCs w:val="16"/>
              </w:rPr>
              <w:t>I</w:t>
            </w:r>
            <w:r w:rsidR="00A06423" w:rsidRPr="00E55C5C">
              <w:rPr>
                <w:rFonts w:cs="Arial"/>
                <w:bCs/>
                <w:sz w:val="16"/>
                <w:szCs w:val="16"/>
              </w:rPr>
              <w:t xml:space="preserve">nterno </w:t>
            </w:r>
            <w:r w:rsidR="004B33F1" w:rsidRPr="00E55C5C">
              <w:rPr>
                <w:rFonts w:cs="Arial"/>
                <w:bCs/>
                <w:sz w:val="16"/>
                <w:szCs w:val="16"/>
              </w:rPr>
              <w:t>B</w:t>
            </w:r>
            <w:r w:rsidR="00A06423" w:rsidRPr="00E55C5C">
              <w:rPr>
                <w:rFonts w:cs="Arial"/>
                <w:bCs/>
                <w:sz w:val="16"/>
                <w:szCs w:val="16"/>
              </w:rPr>
              <w:t>ruto (PIB)</w:t>
            </w:r>
          </w:p>
        </w:tc>
      </w:tr>
      <w:tr w:rsidR="00BC4F70" w:rsidRPr="00D804F7" w14:paraId="71BAB4C8" w14:textId="77777777" w:rsidTr="002A6A4A">
        <w:trPr>
          <w:trHeight w:val="755"/>
          <w:jc w:val="center"/>
        </w:trPr>
        <w:tc>
          <w:tcPr>
            <w:tcW w:w="8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73207" w14:textId="77777777" w:rsidR="00B8075F" w:rsidRPr="00E55C5C" w:rsidRDefault="00375136" w:rsidP="00B8075F">
            <w:pPr>
              <w:rPr>
                <w:rFonts w:cs="Arial"/>
                <w:b/>
                <w:sz w:val="16"/>
                <w:szCs w:val="16"/>
              </w:rPr>
            </w:pPr>
            <w:r w:rsidRPr="00E55C5C">
              <w:rPr>
                <w:rFonts w:cs="Arial"/>
                <w:b/>
                <w:sz w:val="16"/>
                <w:szCs w:val="16"/>
              </w:rPr>
              <w:t>Definición</w:t>
            </w:r>
          </w:p>
          <w:p w14:paraId="3146E3BA" w14:textId="32ADACE0" w:rsidR="004B33F1" w:rsidRPr="00E55C5C" w:rsidRDefault="004B33F1" w:rsidP="004B33F1">
            <w:pPr>
              <w:rPr>
                <w:rFonts w:cs="Arial"/>
                <w:sz w:val="16"/>
                <w:szCs w:val="16"/>
              </w:rPr>
            </w:pPr>
            <w:r w:rsidRPr="00E55C5C">
              <w:rPr>
                <w:rFonts w:cs="Arial"/>
                <w:sz w:val="16"/>
                <w:szCs w:val="16"/>
              </w:rPr>
              <w:t xml:space="preserve">Es el gasto total que realizan </w:t>
            </w:r>
            <w:r w:rsidR="00A06423" w:rsidRPr="00E55C5C">
              <w:rPr>
                <w:rFonts w:cs="Arial"/>
                <w:sz w:val="16"/>
                <w:szCs w:val="16"/>
              </w:rPr>
              <w:t>los</w:t>
            </w:r>
            <w:r w:rsidRPr="00E55C5C">
              <w:rPr>
                <w:rFonts w:cs="Arial"/>
                <w:sz w:val="16"/>
                <w:szCs w:val="16"/>
              </w:rPr>
              <w:t xml:space="preserve"> gobierno</w:t>
            </w:r>
            <w:r w:rsidR="00A06423" w:rsidRPr="00E55C5C">
              <w:rPr>
                <w:rFonts w:cs="Arial"/>
                <w:sz w:val="16"/>
                <w:szCs w:val="16"/>
              </w:rPr>
              <w:t>s</w:t>
            </w:r>
            <w:r w:rsidRPr="00E55C5C">
              <w:rPr>
                <w:rFonts w:cs="Arial"/>
                <w:sz w:val="16"/>
                <w:szCs w:val="16"/>
              </w:rPr>
              <w:t xml:space="preserve"> federal, estatal</w:t>
            </w:r>
            <w:r w:rsidR="00202CFC" w:rsidRPr="00E55C5C">
              <w:rPr>
                <w:rFonts w:cs="Arial"/>
                <w:sz w:val="16"/>
                <w:szCs w:val="16"/>
              </w:rPr>
              <w:t xml:space="preserve"> y </w:t>
            </w:r>
            <w:r w:rsidRPr="00E55C5C">
              <w:rPr>
                <w:rFonts w:cs="Arial"/>
                <w:sz w:val="16"/>
                <w:szCs w:val="16"/>
              </w:rPr>
              <w:t xml:space="preserve">municipal en educación, </w:t>
            </w:r>
            <w:r w:rsidR="00286483" w:rsidRPr="00E55C5C">
              <w:rPr>
                <w:rFonts w:cs="Arial"/>
                <w:sz w:val="16"/>
                <w:szCs w:val="16"/>
              </w:rPr>
              <w:t>cultura, deporte, ciencia y tecnología</w:t>
            </w:r>
            <w:r w:rsidR="003F033A" w:rsidRPr="00E55C5C">
              <w:rPr>
                <w:rFonts w:cs="Arial"/>
                <w:sz w:val="16"/>
                <w:szCs w:val="16"/>
              </w:rPr>
              <w:t>, así como el desembolso de los particulares en educación</w:t>
            </w:r>
            <w:r w:rsidRPr="00E55C5C">
              <w:rPr>
                <w:rFonts w:cs="Arial"/>
                <w:sz w:val="16"/>
                <w:szCs w:val="16"/>
              </w:rPr>
              <w:t>.</w:t>
            </w:r>
          </w:p>
          <w:p w14:paraId="079B1E5B" w14:textId="77777777" w:rsidR="004B33F1" w:rsidRPr="00E55C5C" w:rsidRDefault="004B33F1" w:rsidP="004B33F1">
            <w:pPr>
              <w:rPr>
                <w:rFonts w:cs="Arial"/>
                <w:sz w:val="16"/>
                <w:szCs w:val="16"/>
              </w:rPr>
            </w:pPr>
          </w:p>
          <w:p w14:paraId="64E83CFB" w14:textId="396569E6" w:rsidR="004B33F1" w:rsidRPr="00E55C5C" w:rsidRDefault="004B33F1" w:rsidP="004B33F1">
            <w:pPr>
              <w:rPr>
                <w:rFonts w:cs="Arial"/>
                <w:sz w:val="16"/>
                <w:szCs w:val="16"/>
              </w:rPr>
            </w:pPr>
            <w:r w:rsidRPr="00E55C5C">
              <w:rPr>
                <w:rFonts w:cs="Arial"/>
                <w:sz w:val="16"/>
                <w:szCs w:val="16"/>
              </w:rPr>
              <w:t>Como porcentaje del PIB</w:t>
            </w:r>
            <w:r w:rsidR="002328DC" w:rsidRPr="00E55C5C">
              <w:rPr>
                <w:rFonts w:cs="Arial"/>
                <w:sz w:val="16"/>
                <w:szCs w:val="16"/>
              </w:rPr>
              <w:t>,</w:t>
            </w:r>
            <w:r w:rsidRPr="00E55C5C">
              <w:rPr>
                <w:rFonts w:cs="Arial"/>
                <w:sz w:val="16"/>
                <w:szCs w:val="16"/>
              </w:rPr>
              <w:t xml:space="preserve"> estima cuántos pesos se destinan al gasto nacional </w:t>
            </w:r>
            <w:r w:rsidR="00477E30" w:rsidRPr="00E55C5C">
              <w:rPr>
                <w:rFonts w:cs="Arial"/>
                <w:sz w:val="16"/>
                <w:szCs w:val="16"/>
              </w:rPr>
              <w:t>en educación</w:t>
            </w:r>
            <w:r w:rsidR="00286483" w:rsidRPr="00E55C5C">
              <w:rPr>
                <w:rFonts w:cs="Arial"/>
                <w:sz w:val="16"/>
                <w:szCs w:val="16"/>
              </w:rPr>
              <w:t>, cultura, deporte, ciencia y tecnología</w:t>
            </w:r>
            <w:r w:rsidR="00477E30" w:rsidRPr="00E55C5C">
              <w:rPr>
                <w:rFonts w:cs="Arial"/>
                <w:sz w:val="16"/>
                <w:szCs w:val="16"/>
              </w:rPr>
              <w:t xml:space="preserve"> por cada cien del </w:t>
            </w:r>
            <w:r w:rsidR="00D158CF" w:rsidRPr="00E55C5C">
              <w:rPr>
                <w:rFonts w:cs="Arial"/>
                <w:sz w:val="16"/>
                <w:szCs w:val="16"/>
              </w:rPr>
              <w:t>PIB</w:t>
            </w:r>
            <w:r w:rsidRPr="00E55C5C">
              <w:rPr>
                <w:rFonts w:cs="Arial"/>
                <w:sz w:val="16"/>
                <w:szCs w:val="16"/>
              </w:rPr>
              <w:t xml:space="preserve"> en un cierto año.</w:t>
            </w:r>
          </w:p>
          <w:p w14:paraId="3C7864AA" w14:textId="77777777" w:rsidR="00B8075F" w:rsidRPr="00E55C5C" w:rsidRDefault="00B8075F" w:rsidP="003B3DBD">
            <w:pPr>
              <w:rPr>
                <w:rFonts w:cs="Arial"/>
                <w:sz w:val="16"/>
                <w:szCs w:val="16"/>
              </w:rPr>
            </w:pPr>
          </w:p>
        </w:tc>
      </w:tr>
      <w:tr w:rsidR="00BC4F70" w:rsidRPr="00D804F7" w14:paraId="212A56BD" w14:textId="77777777" w:rsidTr="002A6A4A">
        <w:trPr>
          <w:trHeight w:val="1530"/>
          <w:jc w:val="center"/>
        </w:trPr>
        <w:tc>
          <w:tcPr>
            <w:tcW w:w="835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6537F" w14:textId="62B71574" w:rsidR="00BC4F70" w:rsidRPr="00D804F7" w:rsidRDefault="00E3485E" w:rsidP="003B3DBD">
            <w:pPr>
              <w:ind w:right="-70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Fó</w:t>
            </w:r>
            <w:r w:rsidR="00375136">
              <w:rPr>
                <w:rFonts w:cs="Arial"/>
                <w:b/>
                <w:sz w:val="16"/>
                <w:szCs w:val="16"/>
              </w:rPr>
              <w:t>rmula de cálculo</w:t>
            </w:r>
          </w:p>
          <w:p w14:paraId="47ADE5E9" w14:textId="22CB7855" w:rsidR="004B33F1" w:rsidRPr="00945243" w:rsidRDefault="004B33F1" w:rsidP="004B33F1">
            <w:pPr>
              <w:rPr>
                <w:rFonts w:cs="Arial"/>
                <w:sz w:val="16"/>
                <w:szCs w:val="16"/>
              </w:rPr>
            </w:pPr>
            <w:r w:rsidRPr="00945243">
              <w:rPr>
                <w:rFonts w:cs="Arial"/>
                <w:sz w:val="16"/>
                <w:szCs w:val="16"/>
              </w:rPr>
              <w:t>Para un determinado año fiscal</w:t>
            </w:r>
            <w:r w:rsidR="001239BD" w:rsidRPr="002C57BE">
              <w:rPr>
                <w:rFonts w:cs="Arial"/>
                <w:sz w:val="16"/>
                <w:szCs w:val="16"/>
                <w:vertAlign w:val="superscript"/>
              </w:rPr>
              <w:t>1</w:t>
            </w:r>
            <w:r w:rsidR="00A06423">
              <w:rPr>
                <w:rFonts w:cs="Arial"/>
                <w:sz w:val="16"/>
                <w:szCs w:val="16"/>
                <w:vertAlign w:val="superscript"/>
              </w:rPr>
              <w:t xml:space="preserve">, </w:t>
            </w:r>
            <w:r w:rsidR="001239BD" w:rsidRPr="002C57BE">
              <w:rPr>
                <w:rFonts w:cs="Arial"/>
                <w:sz w:val="16"/>
                <w:szCs w:val="16"/>
                <w:vertAlign w:val="superscript"/>
              </w:rPr>
              <w:t>2</w:t>
            </w:r>
          </w:p>
          <w:p w14:paraId="7559ED04" w14:textId="77777777" w:rsidR="004B33F1" w:rsidRPr="00945243" w:rsidRDefault="004B33F1" w:rsidP="004B33F1">
            <w:pPr>
              <w:rPr>
                <w:rFonts w:cs="Arial"/>
                <w:sz w:val="16"/>
                <w:szCs w:val="16"/>
              </w:rPr>
            </w:pPr>
          </w:p>
          <w:tbl>
            <w:tblPr>
              <w:tblpPr w:leftFromText="141" w:rightFromText="141" w:vertAnchor="text" w:horzAnchor="page" w:tblpX="2952" w:tblpY="-220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52"/>
              <w:gridCol w:w="3051"/>
            </w:tblGrid>
            <w:tr w:rsidR="004B33F1" w:rsidRPr="00A85BB0" w14:paraId="193F5FFC" w14:textId="77777777" w:rsidTr="00762143">
              <w:trPr>
                <w:trHeight w:val="262"/>
              </w:trPr>
              <w:tc>
                <w:tcPr>
                  <w:tcW w:w="1052" w:type="dxa"/>
                </w:tcPr>
                <w:p w14:paraId="15E69656" w14:textId="77777777" w:rsidR="004B33F1" w:rsidRPr="00A85BB0" w:rsidRDefault="004B33F1" w:rsidP="00A85BB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A85BB0">
                    <w:rPr>
                      <w:rFonts w:cs="Arial"/>
                      <w:position w:val="-6"/>
                      <w:sz w:val="16"/>
                      <w:szCs w:val="16"/>
                    </w:rPr>
                    <w:object w:dxaOrig="499" w:dyaOrig="260" w14:anchorId="303B22F4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21.75pt;height:13.5pt" o:ole="">
                        <v:imagedata r:id="rId6" o:title=""/>
                      </v:shape>
                      <o:OLEObject Type="Embed" ProgID="Equation.3" ShapeID="_x0000_i1025" DrawAspect="Content" ObjectID="_1619277524" r:id="rId7"/>
                    </w:object>
                  </w:r>
                </w:p>
              </w:tc>
              <w:tc>
                <w:tcPr>
                  <w:tcW w:w="3051" w:type="dxa"/>
                </w:tcPr>
                <w:p w14:paraId="4A2219AA" w14:textId="5F22D963" w:rsidR="004B33F1" w:rsidRPr="00A85BB0" w:rsidRDefault="004B33F1" w:rsidP="00A85BB0">
                  <w:pPr>
                    <w:jc w:val="both"/>
                    <w:rPr>
                      <w:rFonts w:cs="Arial"/>
                      <w:sz w:val="16"/>
                      <w:szCs w:val="16"/>
                    </w:rPr>
                  </w:pPr>
                  <w:r w:rsidRPr="00A85BB0">
                    <w:rPr>
                      <w:rFonts w:cs="Arial"/>
                      <w:sz w:val="16"/>
                      <w:szCs w:val="16"/>
                    </w:rPr>
                    <w:t>Gasto nacional en educación</w:t>
                  </w:r>
                </w:p>
              </w:tc>
            </w:tr>
            <w:tr w:rsidR="004B33F1" w:rsidRPr="00A85BB0" w14:paraId="44F4C745" w14:textId="77777777" w:rsidTr="00762143">
              <w:trPr>
                <w:trHeight w:val="262"/>
              </w:trPr>
              <w:tc>
                <w:tcPr>
                  <w:tcW w:w="1052" w:type="dxa"/>
                </w:tcPr>
                <w:p w14:paraId="2F51F621" w14:textId="77777777" w:rsidR="004B33F1" w:rsidRPr="00A85BB0" w:rsidRDefault="004B33F1" w:rsidP="00A85BB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A85BB0">
                    <w:rPr>
                      <w:rFonts w:cs="Arial"/>
                      <w:position w:val="-6"/>
                      <w:sz w:val="16"/>
                      <w:szCs w:val="16"/>
                    </w:rPr>
                    <w:object w:dxaOrig="499" w:dyaOrig="260" w14:anchorId="67B8B6B1">
                      <v:shape id="_x0000_i1026" type="#_x0000_t75" style="width:21.75pt;height:13.5pt" o:ole="" fillcolor="window">
                        <v:imagedata r:id="rId8" o:title=""/>
                      </v:shape>
                      <o:OLEObject Type="Embed" ProgID="Equation.3" ShapeID="_x0000_i1026" DrawAspect="Content" ObjectID="_1619277525" r:id="rId9"/>
                    </w:object>
                  </w:r>
                </w:p>
              </w:tc>
              <w:tc>
                <w:tcPr>
                  <w:tcW w:w="3051" w:type="dxa"/>
                </w:tcPr>
                <w:p w14:paraId="765C1093" w14:textId="204B87F6" w:rsidR="004B33F1" w:rsidRPr="00A85BB0" w:rsidRDefault="004B33F1" w:rsidP="00286483">
                  <w:pPr>
                    <w:jc w:val="both"/>
                    <w:rPr>
                      <w:rFonts w:cs="Arial"/>
                      <w:sz w:val="16"/>
                      <w:szCs w:val="16"/>
                    </w:rPr>
                  </w:pPr>
                  <w:r w:rsidRPr="00A85BB0">
                    <w:rPr>
                      <w:rFonts w:cs="Arial"/>
                      <w:sz w:val="16"/>
                      <w:szCs w:val="16"/>
                    </w:rPr>
                    <w:t>Gas</w:t>
                  </w:r>
                  <w:r w:rsidR="00286483">
                    <w:rPr>
                      <w:rFonts w:cs="Arial"/>
                      <w:sz w:val="16"/>
                      <w:szCs w:val="16"/>
                    </w:rPr>
                    <w:t>to público en educación, cultura, deporte, ciencia y tecnología</w:t>
                  </w:r>
                </w:p>
              </w:tc>
            </w:tr>
            <w:tr w:rsidR="004B33F1" w:rsidRPr="00A85BB0" w14:paraId="0F71A751" w14:textId="77777777" w:rsidTr="00762143">
              <w:trPr>
                <w:trHeight w:val="262"/>
              </w:trPr>
              <w:tc>
                <w:tcPr>
                  <w:tcW w:w="1052" w:type="dxa"/>
                </w:tcPr>
                <w:p w14:paraId="7D8D833F" w14:textId="77777777" w:rsidR="004B33F1" w:rsidRPr="00A85BB0" w:rsidRDefault="0057031C" w:rsidP="00A85BB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A85BB0">
                    <w:rPr>
                      <w:rFonts w:cs="Arial"/>
                      <w:position w:val="-6"/>
                      <w:sz w:val="16"/>
                      <w:szCs w:val="16"/>
                    </w:rPr>
                    <w:object w:dxaOrig="680" w:dyaOrig="279" w14:anchorId="34458C27">
                      <v:shape id="_x0000_i1027" type="#_x0000_t75" style="width:36.75pt;height:14.25pt" o:ole="" fillcolor="window">
                        <v:imagedata r:id="rId10" o:title=""/>
                      </v:shape>
                      <o:OLEObject Type="Embed" ProgID="Equation.3" ShapeID="_x0000_i1027" DrawAspect="Content" ObjectID="_1619277526" r:id="rId11"/>
                    </w:object>
                  </w:r>
                </w:p>
              </w:tc>
              <w:tc>
                <w:tcPr>
                  <w:tcW w:w="3051" w:type="dxa"/>
                </w:tcPr>
                <w:p w14:paraId="38F0F848" w14:textId="7D2CEB51" w:rsidR="004B33F1" w:rsidRPr="00A85BB0" w:rsidRDefault="004B33F1" w:rsidP="00286483">
                  <w:pPr>
                    <w:rPr>
                      <w:rFonts w:cs="Arial"/>
                      <w:sz w:val="16"/>
                      <w:szCs w:val="16"/>
                    </w:rPr>
                  </w:pPr>
                  <w:r w:rsidRPr="00A85BB0">
                    <w:rPr>
                      <w:rFonts w:cs="Arial"/>
                      <w:sz w:val="16"/>
                      <w:szCs w:val="16"/>
                    </w:rPr>
                    <w:t xml:space="preserve">Gasto </w:t>
                  </w:r>
                  <w:r w:rsidR="00C65C70">
                    <w:rPr>
                      <w:rFonts w:cs="Arial"/>
                      <w:sz w:val="16"/>
                      <w:szCs w:val="16"/>
                    </w:rPr>
                    <w:t>p</w:t>
                  </w:r>
                  <w:r w:rsidR="0057031C">
                    <w:rPr>
                      <w:rFonts w:cs="Arial"/>
                      <w:sz w:val="16"/>
                      <w:szCs w:val="16"/>
                    </w:rPr>
                    <w:t>rivado</w:t>
                  </w:r>
                  <w:r w:rsidR="00286483">
                    <w:rPr>
                      <w:rFonts w:cs="Arial"/>
                      <w:sz w:val="16"/>
                      <w:szCs w:val="16"/>
                    </w:rPr>
                    <w:t xml:space="preserve"> en educación</w:t>
                  </w:r>
                </w:p>
              </w:tc>
            </w:tr>
            <w:tr w:rsidR="00392709" w:rsidRPr="00A85BB0" w14:paraId="572BA79E" w14:textId="77777777" w:rsidTr="00762143">
              <w:trPr>
                <w:trHeight w:val="250"/>
              </w:trPr>
              <w:tc>
                <w:tcPr>
                  <w:tcW w:w="1052" w:type="dxa"/>
                  <w:vAlign w:val="center"/>
                </w:tcPr>
                <w:p w14:paraId="162C9B01" w14:textId="77777777" w:rsidR="00392709" w:rsidRPr="00A85BB0" w:rsidRDefault="00392709" w:rsidP="00A85BB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A85BB0">
                    <w:rPr>
                      <w:rFonts w:cs="Arial"/>
                      <w:position w:val="-6"/>
                      <w:sz w:val="16"/>
                      <w:szCs w:val="16"/>
                    </w:rPr>
                    <w:object w:dxaOrig="360" w:dyaOrig="260" w14:anchorId="6B1E8490">
                      <v:shape id="_x0000_i1028" type="#_x0000_t75" style="width:21.75pt;height:13.5pt" o:ole="">
                        <v:imagedata r:id="rId12" o:title=""/>
                      </v:shape>
                      <o:OLEObject Type="Embed" ProgID="Equation.3" ShapeID="_x0000_i1028" DrawAspect="Content" ObjectID="_1619277527" r:id="rId13"/>
                    </w:object>
                  </w:r>
                </w:p>
              </w:tc>
              <w:tc>
                <w:tcPr>
                  <w:tcW w:w="3051" w:type="dxa"/>
                  <w:vAlign w:val="center"/>
                </w:tcPr>
                <w:p w14:paraId="48434144" w14:textId="2E438E74" w:rsidR="00392709" w:rsidRPr="00A85BB0" w:rsidRDefault="00392709" w:rsidP="00286483">
                  <w:pPr>
                    <w:rPr>
                      <w:rFonts w:cs="Arial"/>
                      <w:sz w:val="16"/>
                      <w:szCs w:val="16"/>
                    </w:rPr>
                  </w:pPr>
                  <w:r w:rsidRPr="00A85BB0">
                    <w:rPr>
                      <w:rFonts w:cs="Arial"/>
                      <w:sz w:val="16"/>
                      <w:szCs w:val="16"/>
                    </w:rPr>
                    <w:t xml:space="preserve">Gasto federal </w:t>
                  </w:r>
                </w:p>
              </w:tc>
            </w:tr>
            <w:tr w:rsidR="00392709" w:rsidRPr="00A85BB0" w14:paraId="43C96985" w14:textId="77777777" w:rsidTr="00762143">
              <w:trPr>
                <w:trHeight w:val="250"/>
              </w:trPr>
              <w:tc>
                <w:tcPr>
                  <w:tcW w:w="1052" w:type="dxa"/>
                  <w:vAlign w:val="center"/>
                </w:tcPr>
                <w:p w14:paraId="40CA310A" w14:textId="77777777" w:rsidR="00392709" w:rsidRPr="00A85BB0" w:rsidRDefault="00392709" w:rsidP="00A85BB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A85BB0">
                    <w:rPr>
                      <w:rFonts w:cs="Arial"/>
                      <w:position w:val="-6"/>
                      <w:sz w:val="16"/>
                      <w:szCs w:val="16"/>
                    </w:rPr>
                    <w:object w:dxaOrig="360" w:dyaOrig="260" w14:anchorId="0CD084B2">
                      <v:shape id="_x0000_i1029" type="#_x0000_t75" style="width:21.75pt;height:13.5pt" o:ole="">
                        <v:imagedata r:id="rId14" o:title=""/>
                      </v:shape>
                      <o:OLEObject Type="Embed" ProgID="Equation.3" ShapeID="_x0000_i1029" DrawAspect="Content" ObjectID="_1619277528" r:id="rId15"/>
                    </w:object>
                  </w:r>
                </w:p>
              </w:tc>
              <w:tc>
                <w:tcPr>
                  <w:tcW w:w="3051" w:type="dxa"/>
                  <w:vAlign w:val="center"/>
                </w:tcPr>
                <w:p w14:paraId="27C821E7" w14:textId="67FB33E1" w:rsidR="00392709" w:rsidRPr="00A85BB0" w:rsidRDefault="00286483" w:rsidP="00392709">
                  <w:pPr>
                    <w:rPr>
                      <w:rFonts w:cs="Arial"/>
                      <w:sz w:val="16"/>
                      <w:szCs w:val="16"/>
                    </w:rPr>
                  </w:pPr>
                  <w:r>
                    <w:rPr>
                      <w:rFonts w:cs="Arial"/>
                      <w:sz w:val="16"/>
                      <w:szCs w:val="16"/>
                    </w:rPr>
                    <w:t>Gasto estatal</w:t>
                  </w:r>
                </w:p>
              </w:tc>
            </w:tr>
            <w:tr w:rsidR="00392709" w:rsidRPr="00A85BB0" w14:paraId="718314F9" w14:textId="77777777" w:rsidTr="00762143">
              <w:trPr>
                <w:trHeight w:val="250"/>
              </w:trPr>
              <w:tc>
                <w:tcPr>
                  <w:tcW w:w="1052" w:type="dxa"/>
                  <w:vAlign w:val="center"/>
                </w:tcPr>
                <w:p w14:paraId="20E1DB8D" w14:textId="77777777" w:rsidR="00392709" w:rsidRPr="00A85BB0" w:rsidRDefault="00392709" w:rsidP="00A85BB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A85BB0">
                    <w:rPr>
                      <w:rFonts w:cs="Arial"/>
                      <w:position w:val="-6"/>
                      <w:sz w:val="16"/>
                      <w:szCs w:val="16"/>
                    </w:rPr>
                    <w:object w:dxaOrig="400" w:dyaOrig="260" w14:anchorId="367F6839">
                      <v:shape id="_x0000_i1030" type="#_x0000_t75" style="width:21.75pt;height:13.5pt" o:ole="">
                        <v:imagedata r:id="rId16" o:title=""/>
                      </v:shape>
                      <o:OLEObject Type="Embed" ProgID="Equation.3" ShapeID="_x0000_i1030" DrawAspect="Content" ObjectID="_1619277529" r:id="rId17"/>
                    </w:object>
                  </w:r>
                </w:p>
              </w:tc>
              <w:tc>
                <w:tcPr>
                  <w:tcW w:w="3051" w:type="dxa"/>
                  <w:vAlign w:val="center"/>
                </w:tcPr>
                <w:p w14:paraId="13B06799" w14:textId="47E22B89" w:rsidR="00392709" w:rsidRPr="00A85BB0" w:rsidRDefault="00392709" w:rsidP="00286483">
                  <w:pPr>
                    <w:rPr>
                      <w:rFonts w:cs="Arial"/>
                      <w:sz w:val="16"/>
                      <w:szCs w:val="16"/>
                    </w:rPr>
                  </w:pPr>
                  <w:r w:rsidRPr="00A85BB0">
                    <w:rPr>
                      <w:rFonts w:cs="Arial"/>
                      <w:sz w:val="16"/>
                      <w:szCs w:val="16"/>
                    </w:rPr>
                    <w:t>Gasto municipal</w:t>
                  </w:r>
                </w:p>
              </w:tc>
            </w:tr>
            <w:tr w:rsidR="00392709" w:rsidRPr="00A85BB0" w14:paraId="1C0157E5" w14:textId="77777777" w:rsidTr="00762143">
              <w:trPr>
                <w:trHeight w:val="381"/>
              </w:trPr>
              <w:tc>
                <w:tcPr>
                  <w:tcW w:w="1052" w:type="dxa"/>
                  <w:vAlign w:val="center"/>
                </w:tcPr>
                <w:p w14:paraId="4CC87DBB" w14:textId="77777777" w:rsidR="00392709" w:rsidRPr="00A85BB0" w:rsidRDefault="00392709" w:rsidP="00A85BB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A85BB0">
                    <w:rPr>
                      <w:rFonts w:cs="Arial"/>
                      <w:position w:val="-10"/>
                      <w:sz w:val="16"/>
                      <w:szCs w:val="16"/>
                    </w:rPr>
                    <w:object w:dxaOrig="780" w:dyaOrig="300" w14:anchorId="50CE1817">
                      <v:shape id="_x0000_i1031" type="#_x0000_t75" style="width:35.25pt;height:14.25pt" o:ole="">
                        <v:imagedata r:id="rId18" o:title=""/>
                      </v:shape>
                      <o:OLEObject Type="Embed" ProgID="Equation.3" ShapeID="_x0000_i1031" DrawAspect="Content" ObjectID="_1619277530" r:id="rId19"/>
                    </w:object>
                  </w:r>
                </w:p>
              </w:tc>
              <w:tc>
                <w:tcPr>
                  <w:tcW w:w="3051" w:type="dxa"/>
                  <w:vAlign w:val="center"/>
                </w:tcPr>
                <w:p w14:paraId="428C50B7" w14:textId="5BA4D6D0" w:rsidR="00392709" w:rsidRPr="00A85BB0" w:rsidRDefault="00286483" w:rsidP="00286483">
                  <w:pPr>
                    <w:rPr>
                      <w:rFonts w:cs="Arial"/>
                      <w:sz w:val="16"/>
                      <w:szCs w:val="16"/>
                    </w:rPr>
                  </w:pPr>
                  <w:r>
                    <w:rPr>
                      <w:rFonts w:cs="Arial"/>
                      <w:sz w:val="16"/>
                      <w:szCs w:val="16"/>
                    </w:rPr>
                    <w:t>Porcentaje del GNE relativo</w:t>
                  </w:r>
                  <w:r w:rsidR="00392709" w:rsidRPr="00A85BB0">
                    <w:rPr>
                      <w:rFonts w:cs="Arial"/>
                      <w:sz w:val="16"/>
                      <w:szCs w:val="16"/>
                    </w:rPr>
                    <w:t xml:space="preserve"> al PIB</w:t>
                  </w:r>
                </w:p>
              </w:tc>
            </w:tr>
            <w:tr w:rsidR="004B33F1" w:rsidRPr="00A85BB0" w14:paraId="307C8F9C" w14:textId="77777777" w:rsidTr="00762143">
              <w:trPr>
                <w:trHeight w:val="262"/>
              </w:trPr>
              <w:tc>
                <w:tcPr>
                  <w:tcW w:w="1052" w:type="dxa"/>
                  <w:vAlign w:val="center"/>
                </w:tcPr>
                <w:p w14:paraId="7A95B6BE" w14:textId="77777777" w:rsidR="004B33F1" w:rsidRPr="00A85BB0" w:rsidRDefault="004B33F1" w:rsidP="00A85BB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A85BB0">
                    <w:rPr>
                      <w:rFonts w:cs="Arial"/>
                      <w:position w:val="-4"/>
                      <w:sz w:val="16"/>
                      <w:szCs w:val="16"/>
                    </w:rPr>
                    <w:object w:dxaOrig="400" w:dyaOrig="240" w14:anchorId="0D7F0BD7">
                      <v:shape id="_x0000_i1032" type="#_x0000_t75" style="width:21.75pt;height:14.25pt" o:ole="" fillcolor="window">
                        <v:imagedata r:id="rId20" o:title=""/>
                      </v:shape>
                      <o:OLEObject Type="Embed" ProgID="Equation.3" ShapeID="_x0000_i1032" DrawAspect="Content" ObjectID="_1619277531" r:id="rId21"/>
                    </w:object>
                  </w:r>
                </w:p>
              </w:tc>
              <w:tc>
                <w:tcPr>
                  <w:tcW w:w="3051" w:type="dxa"/>
                  <w:vAlign w:val="center"/>
                </w:tcPr>
                <w:p w14:paraId="5C908CF6" w14:textId="7288DB5F" w:rsidR="004B33F1" w:rsidRPr="00A85BB0" w:rsidRDefault="00477E30" w:rsidP="000039F0">
                  <w:pPr>
                    <w:rPr>
                      <w:rFonts w:cs="Arial"/>
                      <w:sz w:val="16"/>
                      <w:szCs w:val="16"/>
                    </w:rPr>
                  </w:pPr>
                  <w:r>
                    <w:rPr>
                      <w:rFonts w:cs="Arial"/>
                      <w:sz w:val="16"/>
                      <w:szCs w:val="16"/>
                    </w:rPr>
                    <w:t xml:space="preserve">Producto </w:t>
                  </w:r>
                  <w:r w:rsidR="002316CA">
                    <w:rPr>
                      <w:rFonts w:cs="Arial"/>
                      <w:sz w:val="16"/>
                      <w:szCs w:val="16"/>
                    </w:rPr>
                    <w:t>I</w:t>
                  </w:r>
                  <w:r>
                    <w:rPr>
                      <w:rFonts w:cs="Arial"/>
                      <w:sz w:val="16"/>
                      <w:szCs w:val="16"/>
                    </w:rPr>
                    <w:t xml:space="preserve">nterno </w:t>
                  </w:r>
                  <w:r w:rsidR="002316CA">
                    <w:rPr>
                      <w:rFonts w:cs="Arial"/>
                      <w:sz w:val="16"/>
                      <w:szCs w:val="16"/>
                    </w:rPr>
                    <w:t>B</w:t>
                  </w:r>
                  <w:r w:rsidR="004B33F1" w:rsidRPr="00A85BB0">
                    <w:rPr>
                      <w:rFonts w:cs="Arial"/>
                      <w:sz w:val="16"/>
                      <w:szCs w:val="16"/>
                    </w:rPr>
                    <w:t>ruto</w:t>
                  </w:r>
                </w:p>
              </w:tc>
            </w:tr>
          </w:tbl>
          <w:p w14:paraId="359E3022" w14:textId="19244D57" w:rsidR="004B33F1" w:rsidRPr="00521E4E" w:rsidRDefault="00286483" w:rsidP="004B33F1">
            <w:pPr>
              <w:rPr>
                <w:rFonts w:cs="Arial"/>
                <w:sz w:val="16"/>
                <w:szCs w:val="16"/>
              </w:rPr>
            </w:pPr>
            <w:r w:rsidRPr="00521E4E">
              <w:rPr>
                <w:rFonts w:cs="Arial"/>
                <w:position w:val="-6"/>
                <w:sz w:val="16"/>
                <w:szCs w:val="16"/>
              </w:rPr>
              <w:object w:dxaOrig="2079" w:dyaOrig="279" w14:anchorId="5DF5F6A5">
                <v:shape id="_x0000_i1033" type="#_x0000_t75" style="width:122.25pt;height:14.25pt" o:ole="" fillcolor="window">
                  <v:imagedata r:id="rId22" o:title=""/>
                </v:shape>
                <o:OLEObject Type="Embed" ProgID="Equation.3" ShapeID="_x0000_i1033" DrawAspect="Content" ObjectID="_1619277532" r:id="rId23"/>
              </w:object>
            </w:r>
          </w:p>
          <w:p w14:paraId="10A967BD" w14:textId="77777777" w:rsidR="004B33F1" w:rsidRPr="00521E4E" w:rsidRDefault="004B33F1" w:rsidP="004B33F1">
            <w:pPr>
              <w:ind w:left="720" w:hanging="720"/>
              <w:rPr>
                <w:rFonts w:cs="Arial"/>
                <w:sz w:val="16"/>
                <w:szCs w:val="16"/>
              </w:rPr>
            </w:pPr>
          </w:p>
          <w:bookmarkStart w:id="0" w:name="OLE_LINK1"/>
          <w:bookmarkStart w:id="1" w:name="OLE_LINK2"/>
          <w:p w14:paraId="4DFD79E7" w14:textId="77777777" w:rsidR="004B33F1" w:rsidRPr="00521E4E" w:rsidRDefault="00521E4E" w:rsidP="004B33F1">
            <w:pPr>
              <w:rPr>
                <w:rFonts w:cs="Arial"/>
                <w:sz w:val="16"/>
                <w:szCs w:val="16"/>
              </w:rPr>
            </w:pPr>
            <w:r w:rsidRPr="00521E4E">
              <w:rPr>
                <w:rFonts w:cs="Arial"/>
                <w:position w:val="-6"/>
                <w:sz w:val="16"/>
                <w:szCs w:val="16"/>
              </w:rPr>
              <w:object w:dxaOrig="2320" w:dyaOrig="279" w14:anchorId="4003F2FB">
                <v:shape id="_x0000_i1034" type="#_x0000_t75" style="width:114.75pt;height:14.25pt" o:ole="">
                  <v:imagedata r:id="rId24" o:title=""/>
                </v:shape>
                <o:OLEObject Type="Embed" ProgID="Equation.3" ShapeID="_x0000_i1034" DrawAspect="Content" ObjectID="_1619277533" r:id="rId25"/>
              </w:object>
            </w:r>
            <w:bookmarkEnd w:id="0"/>
            <w:bookmarkEnd w:id="1"/>
          </w:p>
          <w:p w14:paraId="103A6E42" w14:textId="77777777" w:rsidR="004B33F1" w:rsidRPr="00521E4E" w:rsidRDefault="004B33F1" w:rsidP="004B33F1">
            <w:pPr>
              <w:rPr>
                <w:rFonts w:cs="Arial"/>
                <w:sz w:val="16"/>
                <w:szCs w:val="16"/>
              </w:rPr>
            </w:pPr>
          </w:p>
          <w:p w14:paraId="2CA49D90" w14:textId="77777777" w:rsidR="00392709" w:rsidRPr="00521E4E" w:rsidRDefault="00392709" w:rsidP="004B33F1">
            <w:pPr>
              <w:rPr>
                <w:rFonts w:cs="Arial"/>
                <w:sz w:val="16"/>
                <w:szCs w:val="16"/>
              </w:rPr>
            </w:pPr>
          </w:p>
          <w:p w14:paraId="423D7102" w14:textId="77777777" w:rsidR="004B33F1" w:rsidRPr="00521E4E" w:rsidRDefault="00392709" w:rsidP="004B33F1">
            <w:pPr>
              <w:rPr>
                <w:rFonts w:cs="Arial"/>
                <w:sz w:val="16"/>
                <w:szCs w:val="16"/>
              </w:rPr>
            </w:pPr>
            <w:r w:rsidRPr="00521E4E">
              <w:rPr>
                <w:rFonts w:cs="Arial"/>
                <w:position w:val="-20"/>
                <w:sz w:val="16"/>
                <w:szCs w:val="16"/>
              </w:rPr>
              <w:object w:dxaOrig="1980" w:dyaOrig="540" w14:anchorId="728D5542">
                <v:shape id="_x0000_i1035" type="#_x0000_t75" style="width:101.25pt;height:29.25pt" o:ole="" fillcolor="window">
                  <v:imagedata r:id="rId26" o:title=""/>
                </v:shape>
                <o:OLEObject Type="Embed" ProgID="Equation.3" ShapeID="_x0000_i1035" DrawAspect="Content" ObjectID="_1619277534" r:id="rId27"/>
              </w:object>
            </w:r>
          </w:p>
          <w:p w14:paraId="4A252F72" w14:textId="77777777" w:rsidR="004B33F1" w:rsidRPr="00945243" w:rsidRDefault="004B33F1" w:rsidP="004B33F1">
            <w:pPr>
              <w:ind w:left="900" w:hanging="900"/>
              <w:rPr>
                <w:rFonts w:cs="Arial"/>
                <w:sz w:val="16"/>
                <w:szCs w:val="16"/>
              </w:rPr>
            </w:pPr>
          </w:p>
          <w:p w14:paraId="0F99FA77" w14:textId="77777777" w:rsidR="00BC4F70" w:rsidRPr="00D804F7" w:rsidRDefault="00BC4F70" w:rsidP="004B33F1">
            <w:pPr>
              <w:ind w:left="540" w:firstLine="900"/>
              <w:rPr>
                <w:rFonts w:cs="Arial"/>
                <w:b/>
                <w:sz w:val="16"/>
                <w:szCs w:val="16"/>
              </w:rPr>
            </w:pPr>
          </w:p>
        </w:tc>
      </w:tr>
      <w:tr w:rsidR="00BC4F70" w:rsidRPr="00D804F7" w14:paraId="068479C9" w14:textId="77777777" w:rsidTr="002A6A4A">
        <w:trPr>
          <w:trHeight w:val="1072"/>
          <w:jc w:val="center"/>
        </w:trPr>
        <w:tc>
          <w:tcPr>
            <w:tcW w:w="835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E4A47" w14:textId="77777777" w:rsidR="00BC4F70" w:rsidRPr="00D804F7" w:rsidRDefault="00BC4F70" w:rsidP="00C21904">
            <w:pPr>
              <w:ind w:right="-70"/>
              <w:rPr>
                <w:rFonts w:cs="Arial"/>
                <w:sz w:val="16"/>
                <w:szCs w:val="16"/>
              </w:rPr>
            </w:pPr>
          </w:p>
        </w:tc>
      </w:tr>
      <w:tr w:rsidR="00BC4F70" w:rsidRPr="0026312F" w14:paraId="4BF8A091" w14:textId="77777777" w:rsidTr="002A6A4A">
        <w:trPr>
          <w:trHeight w:val="1338"/>
          <w:jc w:val="center"/>
        </w:trPr>
        <w:tc>
          <w:tcPr>
            <w:tcW w:w="8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0CE64" w14:textId="77777777" w:rsidR="00BC4F70" w:rsidRPr="00D804F7" w:rsidRDefault="00375136" w:rsidP="00C21904">
            <w:pPr>
              <w:jc w:val="both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Interpretación</w:t>
            </w:r>
          </w:p>
          <w:p w14:paraId="6EE7F4F8" w14:textId="43BF6DDA" w:rsidR="004B33F1" w:rsidRPr="004B33F1" w:rsidRDefault="004B33F1" w:rsidP="004B33F1">
            <w:pPr>
              <w:jc w:val="both"/>
              <w:rPr>
                <w:rFonts w:cs="Arial"/>
                <w:sz w:val="16"/>
                <w:szCs w:val="16"/>
                <w:lang w:val="es-MX"/>
              </w:rPr>
            </w:pPr>
            <w:r w:rsidRPr="004B33F1">
              <w:rPr>
                <w:rFonts w:cs="Arial"/>
                <w:sz w:val="16"/>
                <w:szCs w:val="16"/>
                <w:lang w:val="es-MX"/>
              </w:rPr>
              <w:t xml:space="preserve">Muestra el total de recursos que destina la nación para atender la demanda educativa en todos los niveles y modalidades de servicio, así como para llevar a cabo </w:t>
            </w:r>
            <w:r w:rsidR="00CF3159">
              <w:rPr>
                <w:rFonts w:cs="Arial"/>
                <w:sz w:val="16"/>
                <w:szCs w:val="16"/>
                <w:lang w:val="es-MX"/>
              </w:rPr>
              <w:t>las actividades científicas, tecnológicas</w:t>
            </w:r>
            <w:r w:rsidRPr="004B33F1">
              <w:rPr>
                <w:rFonts w:cs="Arial"/>
                <w:sz w:val="16"/>
                <w:szCs w:val="16"/>
                <w:lang w:val="es-MX"/>
              </w:rPr>
              <w:t xml:space="preserve">, </w:t>
            </w:r>
            <w:r w:rsidR="00CF3159">
              <w:rPr>
                <w:rFonts w:cs="Arial"/>
                <w:sz w:val="16"/>
                <w:szCs w:val="16"/>
                <w:lang w:val="es-MX"/>
              </w:rPr>
              <w:t>culturales y deportivas</w:t>
            </w:r>
            <w:r w:rsidRPr="004B33F1">
              <w:rPr>
                <w:rFonts w:cs="Arial"/>
                <w:sz w:val="16"/>
                <w:szCs w:val="16"/>
                <w:lang w:val="es-MX"/>
              </w:rPr>
              <w:t>.</w:t>
            </w:r>
            <w:r w:rsidR="00CF3159">
              <w:rPr>
                <w:rFonts w:cs="Arial"/>
                <w:sz w:val="16"/>
                <w:szCs w:val="16"/>
                <w:lang w:val="es-MX"/>
              </w:rPr>
              <w:t xml:space="preserve"> </w:t>
            </w:r>
            <w:r w:rsidRPr="004B33F1">
              <w:rPr>
                <w:rFonts w:cs="Arial"/>
                <w:sz w:val="16"/>
                <w:szCs w:val="16"/>
                <w:lang w:val="es-MX"/>
              </w:rPr>
              <w:t xml:space="preserve">Al ser presentado de acuerdo </w:t>
            </w:r>
            <w:r w:rsidR="002750E4">
              <w:rPr>
                <w:rFonts w:cs="Arial"/>
                <w:sz w:val="16"/>
                <w:szCs w:val="16"/>
                <w:lang w:val="es-MX"/>
              </w:rPr>
              <w:t>con el</w:t>
            </w:r>
            <w:r w:rsidRPr="004B33F1">
              <w:rPr>
                <w:rFonts w:cs="Arial"/>
                <w:sz w:val="16"/>
                <w:szCs w:val="16"/>
                <w:lang w:val="es-MX"/>
              </w:rPr>
              <w:t xml:space="preserve"> origen de los recursos</w:t>
            </w:r>
            <w:r w:rsidR="00A06423">
              <w:rPr>
                <w:rFonts w:cs="Arial"/>
                <w:sz w:val="16"/>
                <w:szCs w:val="16"/>
                <w:lang w:val="es-MX"/>
              </w:rPr>
              <w:t xml:space="preserve"> (</w:t>
            </w:r>
            <w:r w:rsidRPr="004B33F1">
              <w:rPr>
                <w:rFonts w:cs="Arial"/>
                <w:sz w:val="16"/>
                <w:szCs w:val="16"/>
                <w:lang w:val="es-MX"/>
              </w:rPr>
              <w:t>federal, estatal, municipal y privado</w:t>
            </w:r>
            <w:r w:rsidR="00A06423">
              <w:rPr>
                <w:rFonts w:cs="Arial"/>
                <w:sz w:val="16"/>
                <w:szCs w:val="16"/>
                <w:lang w:val="es-MX"/>
              </w:rPr>
              <w:t>)</w:t>
            </w:r>
            <w:r w:rsidR="00D158CF">
              <w:rPr>
                <w:rFonts w:cs="Arial"/>
                <w:sz w:val="16"/>
                <w:szCs w:val="16"/>
                <w:lang w:val="es-MX"/>
              </w:rPr>
              <w:t>,</w:t>
            </w:r>
            <w:r w:rsidRPr="004B33F1">
              <w:rPr>
                <w:rFonts w:cs="Arial"/>
                <w:sz w:val="16"/>
                <w:szCs w:val="16"/>
                <w:lang w:val="es-MX"/>
              </w:rPr>
              <w:t xml:space="preserve"> </w:t>
            </w:r>
            <w:r w:rsidR="002328DC">
              <w:rPr>
                <w:rFonts w:cs="Arial"/>
                <w:sz w:val="16"/>
                <w:szCs w:val="16"/>
                <w:lang w:val="es-MX"/>
              </w:rPr>
              <w:t>indica</w:t>
            </w:r>
            <w:r w:rsidR="002328DC" w:rsidRPr="004B33F1">
              <w:rPr>
                <w:rFonts w:cs="Arial"/>
                <w:sz w:val="16"/>
                <w:szCs w:val="16"/>
                <w:lang w:val="es-MX"/>
              </w:rPr>
              <w:t xml:space="preserve"> </w:t>
            </w:r>
            <w:r w:rsidRPr="004B33F1">
              <w:rPr>
                <w:rFonts w:cs="Arial"/>
                <w:sz w:val="16"/>
                <w:szCs w:val="16"/>
                <w:lang w:val="es-MX"/>
              </w:rPr>
              <w:t>la participación de cada uno d</w:t>
            </w:r>
            <w:r w:rsidR="00CF3159">
              <w:rPr>
                <w:rFonts w:cs="Arial"/>
                <w:sz w:val="16"/>
                <w:szCs w:val="16"/>
                <w:lang w:val="es-MX"/>
              </w:rPr>
              <w:t>e estos sectores en dichos</w:t>
            </w:r>
            <w:r w:rsidR="00AB2745">
              <w:rPr>
                <w:rFonts w:cs="Arial"/>
                <w:sz w:val="16"/>
                <w:szCs w:val="16"/>
                <w:lang w:val="es-MX"/>
              </w:rPr>
              <w:t xml:space="preserve"> </w:t>
            </w:r>
            <w:r w:rsidR="00CF3159">
              <w:rPr>
                <w:rFonts w:cs="Arial"/>
                <w:sz w:val="16"/>
                <w:szCs w:val="16"/>
                <w:lang w:val="es-MX"/>
              </w:rPr>
              <w:t>rubros</w:t>
            </w:r>
            <w:r w:rsidRPr="004B33F1">
              <w:rPr>
                <w:rFonts w:cs="Arial"/>
                <w:sz w:val="16"/>
                <w:szCs w:val="16"/>
                <w:lang w:val="es-MX"/>
              </w:rPr>
              <w:t>.</w:t>
            </w:r>
            <w:r w:rsidR="00CF3159">
              <w:rPr>
                <w:rFonts w:cs="Arial"/>
                <w:sz w:val="16"/>
                <w:szCs w:val="16"/>
                <w:lang w:val="es-MX"/>
              </w:rPr>
              <w:t xml:space="preserve"> </w:t>
            </w:r>
            <w:r w:rsidRPr="004B33F1">
              <w:rPr>
                <w:rFonts w:cs="Arial"/>
                <w:sz w:val="16"/>
                <w:szCs w:val="16"/>
              </w:rPr>
              <w:t>Con el propósito de establecer comparaciones internacionales</w:t>
            </w:r>
            <w:r w:rsidR="00202CFC">
              <w:rPr>
                <w:rFonts w:cs="Arial"/>
                <w:sz w:val="16"/>
                <w:szCs w:val="16"/>
              </w:rPr>
              <w:t>,</w:t>
            </w:r>
            <w:r w:rsidRPr="004B33F1">
              <w:rPr>
                <w:rFonts w:cs="Arial"/>
                <w:sz w:val="16"/>
                <w:szCs w:val="16"/>
              </w:rPr>
              <w:t xml:space="preserve"> suele ex</w:t>
            </w:r>
            <w:r w:rsidR="00477E30">
              <w:rPr>
                <w:rFonts w:cs="Arial"/>
                <w:sz w:val="16"/>
                <w:szCs w:val="16"/>
              </w:rPr>
              <w:t xml:space="preserve">presarse como porcentaje del </w:t>
            </w:r>
            <w:r w:rsidR="00D158CF">
              <w:rPr>
                <w:rFonts w:cs="Arial"/>
                <w:sz w:val="16"/>
                <w:szCs w:val="16"/>
              </w:rPr>
              <w:t>PIB</w:t>
            </w:r>
            <w:r w:rsidR="00A06423">
              <w:rPr>
                <w:rFonts w:cs="Arial"/>
                <w:sz w:val="16"/>
                <w:szCs w:val="16"/>
              </w:rPr>
              <w:t>. D</w:t>
            </w:r>
            <w:r w:rsidRPr="004B33F1">
              <w:rPr>
                <w:rFonts w:cs="Arial"/>
                <w:sz w:val="16"/>
                <w:szCs w:val="16"/>
              </w:rPr>
              <w:t>e esta forma se interpreta como</w:t>
            </w:r>
            <w:r w:rsidRPr="004B33F1">
              <w:rPr>
                <w:rFonts w:cs="Arial"/>
                <w:sz w:val="16"/>
                <w:szCs w:val="16"/>
                <w:lang w:val="es-MX"/>
              </w:rPr>
              <w:t xml:space="preserve"> una medida del esfuerzo relativo del país por atender los rubros</w:t>
            </w:r>
            <w:r w:rsidR="002316CA">
              <w:rPr>
                <w:rFonts w:cs="Arial"/>
                <w:sz w:val="16"/>
                <w:szCs w:val="16"/>
                <w:lang w:val="es-MX"/>
              </w:rPr>
              <w:t xml:space="preserve"> señalados</w:t>
            </w:r>
            <w:r w:rsidRPr="004B33F1">
              <w:rPr>
                <w:rFonts w:cs="Arial"/>
                <w:sz w:val="16"/>
                <w:szCs w:val="16"/>
                <w:lang w:val="es-MX"/>
              </w:rPr>
              <w:t>.</w:t>
            </w:r>
          </w:p>
          <w:p w14:paraId="53ADC202" w14:textId="77777777" w:rsidR="00BC4F70" w:rsidRPr="004B33F1" w:rsidRDefault="00BC4F70" w:rsidP="00B8075F">
            <w:pPr>
              <w:jc w:val="both"/>
              <w:rPr>
                <w:rFonts w:cs="Arial"/>
                <w:b/>
                <w:sz w:val="16"/>
                <w:szCs w:val="16"/>
                <w:lang w:val="es-MX"/>
              </w:rPr>
            </w:pPr>
          </w:p>
        </w:tc>
      </w:tr>
      <w:tr w:rsidR="00BC4F70" w:rsidRPr="0026312F" w14:paraId="2189BC14" w14:textId="77777777" w:rsidTr="002A6A4A">
        <w:trPr>
          <w:trHeight w:val="995"/>
          <w:jc w:val="center"/>
        </w:trPr>
        <w:tc>
          <w:tcPr>
            <w:tcW w:w="8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4AC5A" w14:textId="77777777" w:rsidR="00BC4F70" w:rsidRPr="00D804F7" w:rsidRDefault="00375136" w:rsidP="00C21904">
            <w:pPr>
              <w:jc w:val="both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Utilidad</w:t>
            </w:r>
          </w:p>
          <w:p w14:paraId="32FCA66F" w14:textId="6220E4C7" w:rsidR="00BC4F70" w:rsidRPr="00D804F7" w:rsidRDefault="006E5F72" w:rsidP="006E5F72">
            <w:pPr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Este indicador m</w:t>
            </w:r>
            <w:r w:rsidR="004B33F1" w:rsidRPr="004B33F1">
              <w:rPr>
                <w:rFonts w:cs="Arial"/>
                <w:sz w:val="16"/>
                <w:szCs w:val="16"/>
              </w:rPr>
              <w:t xml:space="preserve">uestra en forma agregada el total de recursos que un país </w:t>
            </w:r>
            <w:r w:rsidR="004B33F1" w:rsidRPr="00047CC8">
              <w:rPr>
                <w:rFonts w:cs="Arial"/>
                <w:sz w:val="16"/>
                <w:szCs w:val="16"/>
              </w:rPr>
              <w:t>ejerce en</w:t>
            </w:r>
            <w:r w:rsidR="004B33F1" w:rsidRPr="004B33F1">
              <w:rPr>
                <w:rFonts w:cs="Arial"/>
                <w:sz w:val="16"/>
                <w:szCs w:val="16"/>
              </w:rPr>
              <w:t xml:space="preserve"> la atención de la demanda educativa</w:t>
            </w:r>
            <w:r w:rsidR="00D158CF">
              <w:rPr>
                <w:rFonts w:cs="Arial"/>
                <w:sz w:val="16"/>
                <w:szCs w:val="16"/>
              </w:rPr>
              <w:t xml:space="preserve"> </w:t>
            </w:r>
            <w:r w:rsidR="00B06E8F">
              <w:rPr>
                <w:rFonts w:cs="Arial"/>
                <w:sz w:val="16"/>
                <w:szCs w:val="16"/>
              </w:rPr>
              <w:t xml:space="preserve">y en </w:t>
            </w:r>
            <w:r w:rsidR="00CF3159">
              <w:rPr>
                <w:rFonts w:cs="Arial"/>
                <w:sz w:val="16"/>
                <w:szCs w:val="16"/>
              </w:rPr>
              <w:t>fomentar la ciencia, la tecnología,</w:t>
            </w:r>
            <w:r w:rsidR="004B33F1" w:rsidRPr="004B33F1">
              <w:rPr>
                <w:rFonts w:cs="Arial"/>
                <w:sz w:val="16"/>
                <w:szCs w:val="16"/>
              </w:rPr>
              <w:t xml:space="preserve"> </w:t>
            </w:r>
            <w:r w:rsidR="00D158CF">
              <w:rPr>
                <w:rFonts w:cs="Arial"/>
                <w:sz w:val="16"/>
                <w:szCs w:val="16"/>
              </w:rPr>
              <w:t xml:space="preserve">la </w:t>
            </w:r>
            <w:r w:rsidR="004B33F1" w:rsidRPr="004B33F1">
              <w:rPr>
                <w:rFonts w:cs="Arial"/>
                <w:sz w:val="16"/>
                <w:szCs w:val="16"/>
              </w:rPr>
              <w:t xml:space="preserve">cultura y </w:t>
            </w:r>
            <w:r w:rsidR="00D158CF">
              <w:rPr>
                <w:rFonts w:cs="Arial"/>
                <w:sz w:val="16"/>
                <w:szCs w:val="16"/>
              </w:rPr>
              <w:t xml:space="preserve">el </w:t>
            </w:r>
            <w:r w:rsidR="004B33F1" w:rsidRPr="004B33F1">
              <w:rPr>
                <w:rFonts w:cs="Arial"/>
                <w:sz w:val="16"/>
                <w:szCs w:val="16"/>
              </w:rPr>
              <w:t>deporte.</w:t>
            </w:r>
            <w:r>
              <w:rPr>
                <w:rFonts w:cs="Arial"/>
                <w:sz w:val="16"/>
                <w:szCs w:val="16"/>
                <w:lang w:val="es-MX"/>
              </w:rPr>
              <w:t xml:space="preserve"> Asimismo, como </w:t>
            </w:r>
            <w:r w:rsidR="00CF3159">
              <w:rPr>
                <w:rFonts w:cs="Arial"/>
                <w:sz w:val="16"/>
                <w:szCs w:val="16"/>
                <w:lang w:val="es-MX"/>
              </w:rPr>
              <w:t>relativo a</w:t>
            </w:r>
            <w:r w:rsidR="004B33F1" w:rsidRPr="004B33F1">
              <w:rPr>
                <w:rFonts w:cs="Arial"/>
                <w:sz w:val="16"/>
                <w:szCs w:val="16"/>
                <w:lang w:val="es-MX"/>
              </w:rPr>
              <w:t>l PIB</w:t>
            </w:r>
            <w:r w:rsidR="00392709">
              <w:rPr>
                <w:rFonts w:cs="Arial"/>
                <w:sz w:val="16"/>
                <w:szCs w:val="16"/>
                <w:lang w:val="es-MX"/>
              </w:rPr>
              <w:t xml:space="preserve">, </w:t>
            </w:r>
            <w:r w:rsidR="004B33F1" w:rsidRPr="004B33F1">
              <w:rPr>
                <w:rFonts w:cs="Arial"/>
                <w:sz w:val="16"/>
                <w:szCs w:val="16"/>
                <w:lang w:val="es-MX"/>
              </w:rPr>
              <w:t>permite compara</w:t>
            </w:r>
            <w:r>
              <w:rPr>
                <w:rFonts w:cs="Arial"/>
                <w:sz w:val="16"/>
                <w:szCs w:val="16"/>
                <w:lang w:val="es-MX"/>
              </w:rPr>
              <w:t xml:space="preserve">r </w:t>
            </w:r>
            <w:r w:rsidR="00DD4BFB">
              <w:rPr>
                <w:rFonts w:cs="Arial"/>
                <w:sz w:val="16"/>
                <w:szCs w:val="16"/>
                <w:lang w:val="es-MX"/>
              </w:rPr>
              <w:t>el</w:t>
            </w:r>
            <w:r w:rsidR="004B33F1" w:rsidRPr="004B33F1">
              <w:rPr>
                <w:rFonts w:cs="Arial"/>
                <w:sz w:val="16"/>
                <w:szCs w:val="16"/>
                <w:lang w:val="es-MX"/>
              </w:rPr>
              <w:t xml:space="preserve"> gasto en educación </w:t>
            </w:r>
            <w:r>
              <w:rPr>
                <w:rFonts w:cs="Arial"/>
                <w:sz w:val="16"/>
                <w:szCs w:val="16"/>
                <w:lang w:val="es-MX"/>
              </w:rPr>
              <w:t xml:space="preserve">entre </w:t>
            </w:r>
            <w:r w:rsidR="004B33F1" w:rsidRPr="004B33F1">
              <w:rPr>
                <w:rFonts w:cs="Arial"/>
                <w:sz w:val="16"/>
                <w:szCs w:val="16"/>
                <w:lang w:val="es-MX"/>
              </w:rPr>
              <w:t>países.</w:t>
            </w:r>
          </w:p>
        </w:tc>
      </w:tr>
      <w:tr w:rsidR="00BC4F70" w:rsidRPr="0026312F" w14:paraId="5062184D" w14:textId="77777777" w:rsidTr="002A6A4A">
        <w:trPr>
          <w:trHeight w:val="497"/>
          <w:jc w:val="center"/>
        </w:trPr>
        <w:tc>
          <w:tcPr>
            <w:tcW w:w="8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1173E" w14:textId="0716E331" w:rsidR="00BC4F70" w:rsidRDefault="00BC4F70" w:rsidP="00C21904">
            <w:pPr>
              <w:jc w:val="both"/>
              <w:rPr>
                <w:rFonts w:cs="Arial"/>
                <w:b/>
                <w:sz w:val="16"/>
                <w:szCs w:val="16"/>
              </w:rPr>
            </w:pPr>
            <w:r w:rsidRPr="00FD19CE">
              <w:rPr>
                <w:rFonts w:cs="Arial"/>
                <w:b/>
                <w:sz w:val="16"/>
                <w:szCs w:val="16"/>
              </w:rPr>
              <w:t>Ofrece eleme</w:t>
            </w:r>
            <w:r w:rsidR="009479B2">
              <w:rPr>
                <w:rFonts w:cs="Arial"/>
                <w:b/>
                <w:sz w:val="16"/>
                <w:szCs w:val="16"/>
              </w:rPr>
              <w:t xml:space="preserve">ntos para evaluar </w:t>
            </w:r>
            <w:r w:rsidR="00375136" w:rsidRPr="00375136">
              <w:rPr>
                <w:rFonts w:cs="Arial"/>
                <w:b/>
                <w:sz w:val="16"/>
                <w:szCs w:val="16"/>
              </w:rPr>
              <w:t>la</w:t>
            </w:r>
            <w:r w:rsidR="009479B2">
              <w:rPr>
                <w:rFonts w:cs="Arial"/>
                <w:b/>
                <w:sz w:val="16"/>
                <w:szCs w:val="16"/>
              </w:rPr>
              <w:t xml:space="preserve"> siguiente dimensión</w:t>
            </w:r>
            <w:r w:rsidR="00375136">
              <w:rPr>
                <w:rFonts w:cs="Arial"/>
                <w:b/>
                <w:sz w:val="16"/>
                <w:szCs w:val="16"/>
              </w:rPr>
              <w:t xml:space="preserve"> de </w:t>
            </w:r>
            <w:r w:rsidR="00D158CF">
              <w:rPr>
                <w:rFonts w:cs="Arial"/>
                <w:b/>
                <w:sz w:val="16"/>
                <w:szCs w:val="16"/>
              </w:rPr>
              <w:t xml:space="preserve">la </w:t>
            </w:r>
            <w:r w:rsidR="00375136">
              <w:rPr>
                <w:rFonts w:cs="Arial"/>
                <w:b/>
                <w:sz w:val="16"/>
                <w:szCs w:val="16"/>
              </w:rPr>
              <w:t>calidad educativa</w:t>
            </w:r>
          </w:p>
          <w:p w14:paraId="10E58669" w14:textId="49887D28" w:rsidR="00BC4F70" w:rsidRPr="00FD19CE" w:rsidRDefault="004B33F1" w:rsidP="00C21904">
            <w:pPr>
              <w:jc w:val="both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Suficiencia</w:t>
            </w:r>
          </w:p>
        </w:tc>
      </w:tr>
      <w:tr w:rsidR="00BC4F70" w:rsidRPr="0026312F" w14:paraId="37D8FF34" w14:textId="77777777" w:rsidTr="002A6A4A">
        <w:trPr>
          <w:trHeight w:val="1489"/>
          <w:jc w:val="center"/>
        </w:trPr>
        <w:tc>
          <w:tcPr>
            <w:tcW w:w="8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B179D" w14:textId="003E7E50" w:rsidR="00BC4F70" w:rsidRPr="00D804F7" w:rsidRDefault="00337E6B" w:rsidP="00C21904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Desagregación</w:t>
            </w:r>
          </w:p>
          <w:p w14:paraId="01D5D37B" w14:textId="08A25CC3" w:rsidR="00C372F4" w:rsidRDefault="003F033A" w:rsidP="004B33F1">
            <w:pPr>
              <w:ind w:left="181" w:hanging="181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Tipo de sostenimiento: p</w:t>
            </w:r>
            <w:r w:rsidR="003A6547">
              <w:rPr>
                <w:rFonts w:cs="Arial"/>
                <w:sz w:val="16"/>
                <w:szCs w:val="16"/>
              </w:rPr>
              <w:t>úblico y privado.</w:t>
            </w:r>
          </w:p>
          <w:p w14:paraId="19D2FA73" w14:textId="77777777" w:rsidR="00606F3F" w:rsidRDefault="00606F3F" w:rsidP="004B33F1">
            <w:pPr>
              <w:ind w:left="181" w:hanging="181"/>
              <w:rPr>
                <w:rFonts w:cs="Arial"/>
                <w:sz w:val="16"/>
                <w:szCs w:val="16"/>
              </w:rPr>
            </w:pPr>
          </w:p>
          <w:p w14:paraId="3BA55190" w14:textId="58B4E618" w:rsidR="00606F3F" w:rsidRPr="00A56216" w:rsidRDefault="00606F3F" w:rsidP="00A56216">
            <w:pPr>
              <w:pStyle w:val="Prrafodelista"/>
              <w:numPr>
                <w:ilvl w:val="0"/>
                <w:numId w:val="1"/>
              </w:numPr>
              <w:ind w:left="227" w:hanging="227"/>
              <w:rPr>
                <w:rFonts w:cs="Arial"/>
                <w:sz w:val="16"/>
                <w:szCs w:val="16"/>
              </w:rPr>
            </w:pPr>
            <w:r w:rsidRPr="00A56216">
              <w:rPr>
                <w:rFonts w:cs="Arial"/>
                <w:b/>
                <w:sz w:val="16"/>
                <w:szCs w:val="16"/>
              </w:rPr>
              <w:t xml:space="preserve">Máximo </w:t>
            </w:r>
            <w:r w:rsidRPr="00094E4E">
              <w:rPr>
                <w:rFonts w:cs="Arial"/>
                <w:b/>
                <w:sz w:val="16"/>
                <w:szCs w:val="16"/>
              </w:rPr>
              <w:t>nivel</w:t>
            </w:r>
            <w:r w:rsidR="0014328C" w:rsidRPr="00094E4E">
              <w:rPr>
                <w:rFonts w:cs="Arial"/>
                <w:b/>
                <w:sz w:val="16"/>
                <w:szCs w:val="16"/>
              </w:rPr>
              <w:t xml:space="preserve"> </w:t>
            </w:r>
            <w:r w:rsidRPr="00094E4E">
              <w:rPr>
                <w:rFonts w:cs="Arial"/>
                <w:b/>
                <w:sz w:val="16"/>
                <w:szCs w:val="16"/>
              </w:rPr>
              <w:t>de desagregación</w:t>
            </w:r>
            <w:r w:rsidR="0014328C" w:rsidRPr="00A56216">
              <w:rPr>
                <w:rFonts w:cs="Arial"/>
                <w:sz w:val="16"/>
                <w:szCs w:val="16"/>
              </w:rPr>
              <w:t>: n</w:t>
            </w:r>
            <w:r w:rsidRPr="00A56216">
              <w:rPr>
                <w:rFonts w:cs="Arial"/>
                <w:sz w:val="16"/>
                <w:szCs w:val="16"/>
              </w:rPr>
              <w:t>acional</w:t>
            </w:r>
          </w:p>
          <w:p w14:paraId="031EC950" w14:textId="77777777" w:rsidR="00BC4F70" w:rsidRPr="001E6015" w:rsidRDefault="00BC4F70" w:rsidP="004B33F1">
            <w:pPr>
              <w:spacing w:before="120" w:after="60"/>
              <w:ind w:right="108"/>
              <w:rPr>
                <w:rFonts w:cs="Arial"/>
                <w:b/>
                <w:sz w:val="16"/>
                <w:szCs w:val="16"/>
              </w:rPr>
            </w:pPr>
            <w:r w:rsidRPr="001E6015">
              <w:rPr>
                <w:rFonts w:cs="Arial"/>
                <w:b/>
                <w:sz w:val="16"/>
                <w:szCs w:val="16"/>
              </w:rPr>
              <w:t>Fuente</w:t>
            </w:r>
            <w:r w:rsidR="00646261">
              <w:rPr>
                <w:rFonts w:cs="Arial"/>
                <w:b/>
                <w:sz w:val="16"/>
                <w:szCs w:val="16"/>
              </w:rPr>
              <w:t>s</w:t>
            </w:r>
            <w:r w:rsidR="009479B2">
              <w:rPr>
                <w:rFonts w:cs="Arial"/>
                <w:b/>
                <w:sz w:val="16"/>
                <w:szCs w:val="16"/>
              </w:rPr>
              <w:t xml:space="preserve"> de información</w:t>
            </w:r>
          </w:p>
          <w:p w14:paraId="279AA9AF" w14:textId="3E904135" w:rsidR="006E5F72" w:rsidRDefault="0072576C" w:rsidP="003F033A">
            <w:pPr>
              <w:spacing w:before="120" w:after="60" w:line="276" w:lineRule="auto"/>
              <w:ind w:right="108"/>
              <w:rPr>
                <w:rFonts w:cs="Arial"/>
                <w:sz w:val="16"/>
                <w:szCs w:val="16"/>
              </w:rPr>
            </w:pPr>
            <w:proofErr w:type="spellStart"/>
            <w:r w:rsidRPr="00B8330C">
              <w:rPr>
                <w:rFonts w:cs="Arial"/>
                <w:smallCaps/>
                <w:sz w:val="16"/>
                <w:szCs w:val="16"/>
                <w:lang w:val="es-MX"/>
              </w:rPr>
              <w:t>Inegi</w:t>
            </w:r>
            <w:proofErr w:type="spellEnd"/>
            <w:r w:rsidRPr="00B8330C">
              <w:rPr>
                <w:rFonts w:cs="Arial"/>
                <w:sz w:val="16"/>
                <w:szCs w:val="16"/>
                <w:lang w:val="es-MX"/>
              </w:rPr>
              <w:t xml:space="preserve"> (201</w:t>
            </w:r>
            <w:r w:rsidR="00397811">
              <w:rPr>
                <w:rFonts w:cs="Arial"/>
                <w:sz w:val="16"/>
                <w:szCs w:val="16"/>
                <w:lang w:val="es-MX"/>
              </w:rPr>
              <w:t>8</w:t>
            </w:r>
            <w:r w:rsidR="00D34839">
              <w:rPr>
                <w:rFonts w:cs="Arial"/>
                <w:sz w:val="16"/>
                <w:szCs w:val="16"/>
                <w:lang w:val="es-MX"/>
              </w:rPr>
              <w:t>b</w:t>
            </w:r>
            <w:r w:rsidRPr="00B8330C">
              <w:rPr>
                <w:rFonts w:cs="Arial"/>
                <w:sz w:val="16"/>
                <w:szCs w:val="16"/>
                <w:lang w:val="es-MX"/>
              </w:rPr>
              <w:t xml:space="preserve">). </w:t>
            </w:r>
            <w:r w:rsidR="00FE09C5" w:rsidRPr="003F033A">
              <w:rPr>
                <w:rFonts w:cs="Arial"/>
                <w:sz w:val="16"/>
                <w:szCs w:val="16"/>
              </w:rPr>
              <w:t>Índice</w:t>
            </w:r>
            <w:r w:rsidRPr="003F033A">
              <w:rPr>
                <w:rFonts w:cs="Arial"/>
                <w:sz w:val="16"/>
                <w:szCs w:val="16"/>
              </w:rPr>
              <w:t xml:space="preserve"> </w:t>
            </w:r>
            <w:r w:rsidR="00F13083">
              <w:rPr>
                <w:rFonts w:cs="Arial"/>
                <w:sz w:val="16"/>
                <w:szCs w:val="16"/>
              </w:rPr>
              <w:t>Nacional de</w:t>
            </w:r>
            <w:r w:rsidRPr="003F033A">
              <w:rPr>
                <w:rFonts w:cs="Arial"/>
                <w:sz w:val="16"/>
                <w:szCs w:val="16"/>
              </w:rPr>
              <w:t xml:space="preserve"> Precios </w:t>
            </w:r>
            <w:r w:rsidR="00F13083">
              <w:rPr>
                <w:rFonts w:cs="Arial"/>
                <w:sz w:val="16"/>
                <w:szCs w:val="16"/>
              </w:rPr>
              <w:t>al Consumidor</w:t>
            </w:r>
            <w:r w:rsidR="005012FE">
              <w:rPr>
                <w:rFonts w:cs="Arial"/>
                <w:sz w:val="16"/>
                <w:szCs w:val="16"/>
              </w:rPr>
              <w:t>.</w:t>
            </w:r>
            <w:r w:rsidRPr="003F033A">
              <w:rPr>
                <w:rFonts w:cs="Arial"/>
                <w:sz w:val="16"/>
                <w:szCs w:val="16"/>
              </w:rPr>
              <w:t xml:space="preserve"> Base 20</w:t>
            </w:r>
            <w:r w:rsidR="00F13083">
              <w:rPr>
                <w:rFonts w:cs="Arial"/>
                <w:sz w:val="16"/>
                <w:szCs w:val="16"/>
              </w:rPr>
              <w:t>1</w:t>
            </w:r>
            <w:r w:rsidR="00397811">
              <w:rPr>
                <w:rFonts w:cs="Arial"/>
                <w:sz w:val="16"/>
                <w:szCs w:val="16"/>
              </w:rPr>
              <w:t>8</w:t>
            </w:r>
            <w:r w:rsidRPr="00B8330C">
              <w:rPr>
                <w:rFonts w:cs="Arial"/>
                <w:sz w:val="16"/>
                <w:szCs w:val="16"/>
              </w:rPr>
              <w:t>.</w:t>
            </w:r>
            <w:r w:rsidR="006E5F72">
              <w:rPr>
                <w:rFonts w:cs="Arial"/>
                <w:sz w:val="16"/>
                <w:szCs w:val="16"/>
              </w:rPr>
              <w:t xml:space="preserve"> </w:t>
            </w:r>
          </w:p>
          <w:p w14:paraId="62769CD1" w14:textId="19D6F56B" w:rsidR="003D0E7B" w:rsidRDefault="003D0E7B" w:rsidP="003D0E7B">
            <w:pPr>
              <w:spacing w:before="120" w:after="60" w:line="276" w:lineRule="auto"/>
              <w:ind w:right="108"/>
              <w:rPr>
                <w:rFonts w:cs="Arial"/>
                <w:sz w:val="16"/>
                <w:szCs w:val="16"/>
                <w:lang w:val="es-MX"/>
              </w:rPr>
            </w:pPr>
            <w:proofErr w:type="spellStart"/>
            <w:r w:rsidRPr="00B8330C">
              <w:rPr>
                <w:rFonts w:cs="Arial"/>
                <w:smallCaps/>
                <w:sz w:val="16"/>
                <w:szCs w:val="16"/>
                <w:lang w:val="es-MX"/>
              </w:rPr>
              <w:t>Inegi</w:t>
            </w:r>
            <w:proofErr w:type="spellEnd"/>
            <w:r w:rsidRPr="00B8330C">
              <w:rPr>
                <w:rFonts w:cs="Arial"/>
                <w:sz w:val="16"/>
                <w:szCs w:val="16"/>
                <w:lang w:val="es-MX"/>
              </w:rPr>
              <w:t xml:space="preserve"> (201</w:t>
            </w:r>
            <w:r w:rsidR="00AA3E29">
              <w:rPr>
                <w:rFonts w:cs="Arial"/>
                <w:sz w:val="16"/>
                <w:szCs w:val="16"/>
                <w:lang w:val="es-MX"/>
              </w:rPr>
              <w:t>8</w:t>
            </w:r>
            <w:r w:rsidR="00094E4E">
              <w:rPr>
                <w:rFonts w:cs="Arial"/>
                <w:sz w:val="16"/>
                <w:szCs w:val="16"/>
                <w:lang w:val="es-MX"/>
              </w:rPr>
              <w:t>d</w:t>
            </w:r>
            <w:r w:rsidRPr="00B8330C">
              <w:rPr>
                <w:rFonts w:cs="Arial"/>
                <w:sz w:val="16"/>
                <w:szCs w:val="16"/>
                <w:lang w:val="es-MX"/>
              </w:rPr>
              <w:t xml:space="preserve">). </w:t>
            </w:r>
            <w:r w:rsidRPr="003F033A">
              <w:rPr>
                <w:rFonts w:cs="Arial"/>
                <w:sz w:val="16"/>
                <w:szCs w:val="16"/>
                <w:lang w:val="es-MX"/>
              </w:rPr>
              <w:t xml:space="preserve">PIB y </w:t>
            </w:r>
            <w:r>
              <w:rPr>
                <w:rFonts w:cs="Arial"/>
                <w:sz w:val="16"/>
                <w:szCs w:val="16"/>
                <w:lang w:val="es-MX"/>
              </w:rPr>
              <w:t>C</w:t>
            </w:r>
            <w:r w:rsidRPr="003F033A">
              <w:rPr>
                <w:rFonts w:cs="Arial"/>
                <w:sz w:val="16"/>
                <w:szCs w:val="16"/>
                <w:lang w:val="es-MX"/>
              </w:rPr>
              <w:t xml:space="preserve">uentas </w:t>
            </w:r>
            <w:r>
              <w:rPr>
                <w:rFonts w:cs="Arial"/>
                <w:sz w:val="16"/>
                <w:szCs w:val="16"/>
                <w:lang w:val="es-MX"/>
              </w:rPr>
              <w:t>N</w:t>
            </w:r>
            <w:r w:rsidRPr="003F033A">
              <w:rPr>
                <w:rFonts w:cs="Arial"/>
                <w:sz w:val="16"/>
                <w:szCs w:val="16"/>
                <w:lang w:val="es-MX"/>
              </w:rPr>
              <w:t>acionales.</w:t>
            </w:r>
          </w:p>
          <w:p w14:paraId="49B1085D" w14:textId="26622CAC" w:rsidR="006E5F72" w:rsidRPr="00DE2006" w:rsidRDefault="006E5F72" w:rsidP="003D0E7B">
            <w:pPr>
              <w:spacing w:before="120" w:after="60" w:line="276" w:lineRule="auto"/>
              <w:ind w:right="108"/>
              <w:rPr>
                <w:rFonts w:cs="Arial"/>
                <w:sz w:val="16"/>
                <w:szCs w:val="16"/>
                <w:lang w:val="es-MX"/>
              </w:rPr>
            </w:pPr>
            <w:r w:rsidRPr="00DE2006">
              <w:rPr>
                <w:rFonts w:cs="Arial"/>
                <w:sz w:val="16"/>
                <w:szCs w:val="16"/>
                <w:lang w:val="es-MX"/>
              </w:rPr>
              <w:t>Presidencia de la República (201</w:t>
            </w:r>
            <w:r w:rsidR="00397811">
              <w:rPr>
                <w:rFonts w:cs="Arial"/>
                <w:sz w:val="16"/>
                <w:szCs w:val="16"/>
                <w:lang w:val="es-MX"/>
              </w:rPr>
              <w:t>8</w:t>
            </w:r>
            <w:r w:rsidRPr="00DE2006">
              <w:rPr>
                <w:rFonts w:cs="Arial"/>
                <w:sz w:val="16"/>
                <w:szCs w:val="16"/>
                <w:lang w:val="es-MX"/>
              </w:rPr>
              <w:t xml:space="preserve">). </w:t>
            </w:r>
            <w:r w:rsidR="00397811">
              <w:rPr>
                <w:rFonts w:cs="Arial"/>
                <w:i/>
                <w:sz w:val="16"/>
                <w:szCs w:val="16"/>
              </w:rPr>
              <w:t>Sexto</w:t>
            </w:r>
            <w:r w:rsidR="00DE2006" w:rsidRPr="00DE2006">
              <w:rPr>
                <w:rFonts w:cs="Arial"/>
                <w:i/>
                <w:sz w:val="16"/>
                <w:szCs w:val="16"/>
              </w:rPr>
              <w:t xml:space="preserve"> Informe de Gobierno 201</w:t>
            </w:r>
            <w:r w:rsidR="00397811">
              <w:rPr>
                <w:rFonts w:cs="Arial"/>
                <w:i/>
                <w:sz w:val="16"/>
                <w:szCs w:val="16"/>
              </w:rPr>
              <w:t>7</w:t>
            </w:r>
            <w:r w:rsidR="00DE2006" w:rsidRPr="00DE2006">
              <w:rPr>
                <w:rFonts w:cs="Arial"/>
                <w:i/>
                <w:sz w:val="16"/>
                <w:szCs w:val="16"/>
              </w:rPr>
              <w:t>-201</w:t>
            </w:r>
            <w:r w:rsidR="00397811">
              <w:rPr>
                <w:rFonts w:cs="Arial"/>
                <w:i/>
                <w:sz w:val="16"/>
                <w:szCs w:val="16"/>
              </w:rPr>
              <w:t>8</w:t>
            </w:r>
            <w:r w:rsidR="00DE2006" w:rsidRPr="00DE2006">
              <w:rPr>
                <w:rFonts w:cs="Arial"/>
                <w:i/>
                <w:sz w:val="16"/>
                <w:szCs w:val="16"/>
              </w:rPr>
              <w:t>. Anexo estadístico</w:t>
            </w:r>
            <w:r w:rsidR="00DE2006" w:rsidRPr="00DE2006">
              <w:rPr>
                <w:rFonts w:cs="Arial"/>
                <w:sz w:val="16"/>
                <w:szCs w:val="16"/>
              </w:rPr>
              <w:t>.</w:t>
            </w:r>
          </w:p>
          <w:p w14:paraId="35C51C19" w14:textId="77777777" w:rsidR="00B84643" w:rsidRDefault="00B84643" w:rsidP="003F033A">
            <w:pPr>
              <w:spacing w:line="276" w:lineRule="auto"/>
              <w:ind w:right="-70"/>
              <w:jc w:val="both"/>
              <w:rPr>
                <w:rFonts w:cs="Arial"/>
                <w:b/>
                <w:bCs/>
                <w:iCs/>
                <w:sz w:val="16"/>
                <w:szCs w:val="16"/>
              </w:rPr>
            </w:pPr>
          </w:p>
          <w:p w14:paraId="65D3C2BF" w14:textId="77777777" w:rsidR="004B33F1" w:rsidRDefault="004B33F1" w:rsidP="00C21904">
            <w:pPr>
              <w:ind w:right="-70"/>
              <w:jc w:val="both"/>
              <w:rPr>
                <w:rFonts w:cs="Arial"/>
                <w:b/>
                <w:bCs/>
                <w:iCs/>
                <w:sz w:val="16"/>
                <w:szCs w:val="16"/>
              </w:rPr>
            </w:pPr>
            <w:r>
              <w:rPr>
                <w:rFonts w:cs="Arial"/>
                <w:b/>
                <w:bCs/>
                <w:iCs/>
                <w:sz w:val="16"/>
                <w:szCs w:val="16"/>
              </w:rPr>
              <w:t>Nota</w:t>
            </w:r>
            <w:r w:rsidR="00646261">
              <w:rPr>
                <w:rFonts w:cs="Arial"/>
                <w:b/>
                <w:bCs/>
                <w:iCs/>
                <w:sz w:val="16"/>
                <w:szCs w:val="16"/>
              </w:rPr>
              <w:t>s</w:t>
            </w:r>
          </w:p>
          <w:p w14:paraId="07E30729" w14:textId="13323B6B" w:rsidR="00BF4B45" w:rsidRDefault="001239BD" w:rsidP="00B06E8F">
            <w:pPr>
              <w:ind w:right="-70"/>
              <w:jc w:val="both"/>
              <w:rPr>
                <w:rFonts w:cs="Arial"/>
                <w:iCs/>
                <w:sz w:val="12"/>
                <w:szCs w:val="12"/>
              </w:rPr>
            </w:pPr>
            <w:r w:rsidRPr="002C57BE">
              <w:rPr>
                <w:rFonts w:cs="Arial"/>
                <w:iCs/>
                <w:sz w:val="12"/>
                <w:szCs w:val="12"/>
                <w:vertAlign w:val="superscript"/>
              </w:rPr>
              <w:t>1</w:t>
            </w:r>
            <w:r w:rsidR="001118F8">
              <w:rPr>
                <w:rFonts w:cs="Arial"/>
                <w:iCs/>
                <w:sz w:val="12"/>
                <w:szCs w:val="12"/>
              </w:rPr>
              <w:t>A partir del año 2000</w:t>
            </w:r>
            <w:r w:rsidR="00BF4B45" w:rsidRPr="00BF4B45">
              <w:rPr>
                <w:rFonts w:cs="Arial"/>
                <w:iCs/>
                <w:sz w:val="12"/>
                <w:szCs w:val="12"/>
              </w:rPr>
              <w:t xml:space="preserve"> las cifras </w:t>
            </w:r>
            <w:r w:rsidR="00D67DB8">
              <w:rPr>
                <w:rFonts w:cs="Arial"/>
                <w:iCs/>
                <w:sz w:val="12"/>
                <w:szCs w:val="12"/>
              </w:rPr>
              <w:t xml:space="preserve">del gasto público </w:t>
            </w:r>
            <w:r w:rsidR="00BF4B45" w:rsidRPr="00BF4B45">
              <w:rPr>
                <w:rFonts w:cs="Arial"/>
                <w:iCs/>
                <w:sz w:val="12"/>
                <w:szCs w:val="12"/>
              </w:rPr>
              <w:t xml:space="preserve">y </w:t>
            </w:r>
            <w:r w:rsidR="003436D4">
              <w:rPr>
                <w:rFonts w:cs="Arial"/>
                <w:iCs/>
                <w:sz w:val="12"/>
                <w:szCs w:val="12"/>
              </w:rPr>
              <w:t xml:space="preserve">del </w:t>
            </w:r>
            <w:r w:rsidR="00BF4B45" w:rsidRPr="00BF4B45">
              <w:rPr>
                <w:rFonts w:cs="Arial"/>
                <w:iCs/>
                <w:sz w:val="12"/>
                <w:szCs w:val="12"/>
              </w:rPr>
              <w:t>gasto privado</w:t>
            </w:r>
            <w:r w:rsidR="00D67DB8">
              <w:rPr>
                <w:rFonts w:cs="Arial"/>
                <w:iCs/>
                <w:sz w:val="12"/>
                <w:szCs w:val="12"/>
              </w:rPr>
              <w:t xml:space="preserve"> fueron </w:t>
            </w:r>
            <w:r w:rsidR="00DE1A45">
              <w:rPr>
                <w:rFonts w:cs="Arial"/>
                <w:iCs/>
                <w:sz w:val="12"/>
                <w:szCs w:val="12"/>
              </w:rPr>
              <w:t>actualizadas</w:t>
            </w:r>
            <w:r w:rsidR="00BF4B45" w:rsidRPr="00BF4B45">
              <w:rPr>
                <w:rFonts w:cs="Arial"/>
                <w:iCs/>
                <w:sz w:val="12"/>
                <w:szCs w:val="12"/>
              </w:rPr>
              <w:t xml:space="preserve"> debido a la revisión </w:t>
            </w:r>
            <w:r w:rsidR="00605341">
              <w:rPr>
                <w:rFonts w:cs="Arial"/>
                <w:iCs/>
                <w:sz w:val="12"/>
                <w:szCs w:val="12"/>
              </w:rPr>
              <w:t>de la</w:t>
            </w:r>
            <w:r w:rsidR="00BF4B45" w:rsidRPr="00BF4B45">
              <w:rPr>
                <w:rFonts w:cs="Arial"/>
                <w:iCs/>
                <w:sz w:val="12"/>
                <w:szCs w:val="12"/>
              </w:rPr>
              <w:t xml:space="preserve"> SEP</w:t>
            </w:r>
            <w:r w:rsidR="00D67DB8">
              <w:rPr>
                <w:rFonts w:cs="Arial"/>
                <w:iCs/>
                <w:sz w:val="12"/>
                <w:szCs w:val="12"/>
              </w:rPr>
              <w:t xml:space="preserve"> junto</w:t>
            </w:r>
            <w:r w:rsidR="00BF4B45" w:rsidRPr="00BF4B45">
              <w:rPr>
                <w:rFonts w:cs="Arial"/>
                <w:iCs/>
                <w:sz w:val="12"/>
                <w:szCs w:val="12"/>
              </w:rPr>
              <w:t xml:space="preserve"> con los gobiernos estatales,</w:t>
            </w:r>
            <w:r w:rsidR="00BF4B45">
              <w:rPr>
                <w:rFonts w:cs="Arial"/>
                <w:iCs/>
                <w:sz w:val="12"/>
                <w:szCs w:val="12"/>
              </w:rPr>
              <w:t xml:space="preserve"> </w:t>
            </w:r>
            <w:r w:rsidR="00065615">
              <w:rPr>
                <w:rFonts w:cs="Arial"/>
                <w:iCs/>
                <w:sz w:val="12"/>
                <w:szCs w:val="12"/>
              </w:rPr>
              <w:t>y</w:t>
            </w:r>
            <w:r w:rsidR="00D67DB8">
              <w:rPr>
                <w:rFonts w:cs="Arial"/>
                <w:iCs/>
                <w:sz w:val="12"/>
                <w:szCs w:val="12"/>
              </w:rPr>
              <w:t xml:space="preserve">a que </w:t>
            </w:r>
            <w:r w:rsidR="00BF4B45" w:rsidRPr="00BF4B45">
              <w:rPr>
                <w:rFonts w:cs="Arial"/>
                <w:iCs/>
                <w:sz w:val="12"/>
                <w:szCs w:val="12"/>
              </w:rPr>
              <w:t xml:space="preserve">el gasto privado se recopila </w:t>
            </w:r>
            <w:r w:rsidR="00202CFC">
              <w:rPr>
                <w:rFonts w:cs="Arial"/>
                <w:iCs/>
                <w:sz w:val="12"/>
                <w:szCs w:val="12"/>
              </w:rPr>
              <w:t>por medio</w:t>
            </w:r>
            <w:r w:rsidR="00BF4B45" w:rsidRPr="00BF4B45">
              <w:rPr>
                <w:rFonts w:cs="Arial"/>
                <w:iCs/>
                <w:sz w:val="12"/>
                <w:szCs w:val="12"/>
              </w:rPr>
              <w:t xml:space="preserve"> de </w:t>
            </w:r>
            <w:r w:rsidR="00BF4B45" w:rsidRPr="00065615">
              <w:rPr>
                <w:rFonts w:cs="Arial"/>
                <w:iCs/>
                <w:sz w:val="12"/>
                <w:szCs w:val="12"/>
              </w:rPr>
              <w:t>encuestas</w:t>
            </w:r>
            <w:r w:rsidR="00055B4F">
              <w:rPr>
                <w:rFonts w:cs="Arial"/>
                <w:iCs/>
                <w:sz w:val="12"/>
                <w:szCs w:val="12"/>
              </w:rPr>
              <w:t xml:space="preserve"> </w:t>
            </w:r>
            <w:r w:rsidR="00055B4F" w:rsidRPr="00055B4F">
              <w:rPr>
                <w:rFonts w:cs="Arial"/>
                <w:iCs/>
                <w:sz w:val="12"/>
                <w:szCs w:val="12"/>
              </w:rPr>
              <w:t>y la información del gasto federal se apega a lo reportado como definitivo en las Cuentas Públicas de las dependencias</w:t>
            </w:r>
            <w:r w:rsidR="00BF4B45" w:rsidRPr="00065615">
              <w:rPr>
                <w:rFonts w:cs="Arial"/>
                <w:iCs/>
                <w:sz w:val="12"/>
                <w:szCs w:val="12"/>
              </w:rPr>
              <w:t xml:space="preserve">, por lo que </w:t>
            </w:r>
            <w:r w:rsidR="00D67DB8" w:rsidRPr="00065615">
              <w:rPr>
                <w:rFonts w:cs="Arial"/>
                <w:iCs/>
                <w:sz w:val="12"/>
                <w:szCs w:val="12"/>
              </w:rPr>
              <w:t xml:space="preserve">éste puede </w:t>
            </w:r>
            <w:r w:rsidR="00BF4B45" w:rsidRPr="00065615">
              <w:rPr>
                <w:rFonts w:cs="Arial"/>
                <w:iCs/>
                <w:sz w:val="12"/>
                <w:szCs w:val="12"/>
              </w:rPr>
              <w:t>cambia</w:t>
            </w:r>
            <w:r w:rsidR="00D67DB8" w:rsidRPr="00065615">
              <w:rPr>
                <w:rFonts w:cs="Arial"/>
                <w:iCs/>
                <w:sz w:val="12"/>
                <w:szCs w:val="12"/>
              </w:rPr>
              <w:t>r</w:t>
            </w:r>
            <w:r w:rsidR="00065615" w:rsidRPr="00065615">
              <w:rPr>
                <w:rFonts w:cs="Arial"/>
                <w:iCs/>
                <w:sz w:val="12"/>
                <w:szCs w:val="12"/>
              </w:rPr>
              <w:t xml:space="preserve"> sistemáticamente</w:t>
            </w:r>
            <w:r w:rsidR="00D67DB8" w:rsidRPr="00065615">
              <w:rPr>
                <w:rFonts w:cs="Arial"/>
                <w:iCs/>
                <w:sz w:val="12"/>
                <w:szCs w:val="12"/>
              </w:rPr>
              <w:t>.</w:t>
            </w:r>
          </w:p>
          <w:p w14:paraId="2B966758" w14:textId="77777777" w:rsidR="00BF4B45" w:rsidRDefault="00BF4B45" w:rsidP="00B06E8F">
            <w:pPr>
              <w:ind w:right="-70"/>
              <w:jc w:val="both"/>
              <w:rPr>
                <w:rFonts w:cs="Arial"/>
                <w:iCs/>
                <w:sz w:val="12"/>
                <w:szCs w:val="12"/>
              </w:rPr>
            </w:pPr>
          </w:p>
          <w:p w14:paraId="44075E54" w14:textId="293ED69F" w:rsidR="004B33F1" w:rsidRPr="004B33F1" w:rsidRDefault="001239BD" w:rsidP="004B33F1">
            <w:pPr>
              <w:ind w:right="-70"/>
              <w:jc w:val="both"/>
              <w:rPr>
                <w:rFonts w:cs="Arial"/>
                <w:iCs/>
                <w:sz w:val="12"/>
                <w:szCs w:val="12"/>
              </w:rPr>
            </w:pPr>
            <w:r w:rsidRPr="001118F8">
              <w:rPr>
                <w:rFonts w:cs="Arial"/>
                <w:iCs/>
                <w:sz w:val="12"/>
                <w:szCs w:val="12"/>
                <w:vertAlign w:val="superscript"/>
                <w:lang w:val="es-MX"/>
              </w:rPr>
              <w:t>2</w:t>
            </w:r>
            <w:r w:rsidR="004B33F1" w:rsidRPr="001118F8">
              <w:rPr>
                <w:rFonts w:cs="Arial"/>
                <w:iCs/>
                <w:sz w:val="12"/>
                <w:szCs w:val="12"/>
                <w:lang w:val="es-MX"/>
              </w:rPr>
              <w:t>Se presenta en pesos corrientes y en pesos reales con referencia a determinado año base</w:t>
            </w:r>
            <w:r w:rsidR="00E63F17" w:rsidRPr="001118F8">
              <w:rPr>
                <w:rFonts w:cs="Arial"/>
                <w:iCs/>
                <w:sz w:val="12"/>
                <w:szCs w:val="12"/>
                <w:lang w:val="es-MX"/>
              </w:rPr>
              <w:t>. Los valores nominales fueron</w:t>
            </w:r>
            <w:r w:rsidR="007400E4" w:rsidRPr="001118F8">
              <w:rPr>
                <w:rFonts w:cs="Arial"/>
                <w:iCs/>
                <w:sz w:val="12"/>
                <w:szCs w:val="12"/>
                <w:lang w:val="es-MX"/>
              </w:rPr>
              <w:t xml:space="preserve"> deflactado</w:t>
            </w:r>
            <w:r w:rsidR="00E63F17" w:rsidRPr="001118F8">
              <w:rPr>
                <w:rFonts w:cs="Arial"/>
                <w:iCs/>
                <w:sz w:val="12"/>
                <w:szCs w:val="12"/>
                <w:lang w:val="es-MX"/>
              </w:rPr>
              <w:t>s</w:t>
            </w:r>
            <w:r w:rsidR="007400E4" w:rsidRPr="001118F8">
              <w:rPr>
                <w:rFonts w:cs="Arial"/>
                <w:iCs/>
                <w:sz w:val="12"/>
                <w:szCs w:val="12"/>
                <w:lang w:val="es-MX"/>
              </w:rPr>
              <w:t xml:space="preserve"> respecto al promedio del Índice</w:t>
            </w:r>
            <w:r w:rsidR="00F13083">
              <w:rPr>
                <w:rFonts w:cs="Arial"/>
                <w:iCs/>
                <w:sz w:val="12"/>
                <w:szCs w:val="12"/>
                <w:lang w:val="es-MX"/>
              </w:rPr>
              <w:t xml:space="preserve"> Nacional de Precios al Consumidor </w:t>
            </w:r>
            <w:r w:rsidR="00F71AAB" w:rsidRPr="003A7563">
              <w:rPr>
                <w:rFonts w:cs="Arial"/>
                <w:iCs/>
                <w:sz w:val="12"/>
                <w:szCs w:val="12"/>
                <w:lang w:val="es-MX"/>
              </w:rPr>
              <w:t>del año correspondiente</w:t>
            </w:r>
            <w:r w:rsidR="004B33F1" w:rsidRPr="003A7563">
              <w:rPr>
                <w:rFonts w:cs="Arial"/>
                <w:iCs/>
                <w:sz w:val="12"/>
                <w:szCs w:val="12"/>
                <w:lang w:val="es-MX"/>
              </w:rPr>
              <w:t>.</w:t>
            </w:r>
          </w:p>
          <w:p w14:paraId="69BAA1AB" w14:textId="77777777" w:rsidR="00BC4F70" w:rsidRPr="00BC4F70" w:rsidRDefault="00BC4F70" w:rsidP="00C372F4">
            <w:pPr>
              <w:pStyle w:val="Encabezado"/>
              <w:tabs>
                <w:tab w:val="left" w:pos="1740"/>
                <w:tab w:val="left" w:pos="1980"/>
              </w:tabs>
              <w:jc w:val="both"/>
              <w:rPr>
                <w:rFonts w:cs="Arial"/>
                <w:sz w:val="12"/>
                <w:szCs w:val="12"/>
              </w:rPr>
            </w:pPr>
          </w:p>
        </w:tc>
      </w:tr>
    </w:tbl>
    <w:p w14:paraId="1AC33ED1" w14:textId="77777777" w:rsidR="00BC4F70" w:rsidRDefault="00BC4F70" w:rsidP="00BC4F70"/>
    <w:p w14:paraId="4F4D91FF" w14:textId="77777777" w:rsidR="00BC4F70" w:rsidRDefault="00BC4F70" w:rsidP="00BC4F70"/>
    <w:p w14:paraId="46AF7220" w14:textId="05530FEB" w:rsidR="000811AD" w:rsidRDefault="000811AD" w:rsidP="00BC4F70"/>
    <w:p w14:paraId="53B9FE88" w14:textId="77777777" w:rsidR="00BC4F70" w:rsidRDefault="00BC4F70" w:rsidP="00BC4F70"/>
    <w:p w14:paraId="21667722" w14:textId="77777777" w:rsidR="00BC4F70" w:rsidRDefault="00BC4F70" w:rsidP="00BC4F70"/>
    <w:p w14:paraId="3E9AB319" w14:textId="757BDA29" w:rsidR="00BC4F70" w:rsidRDefault="00B81D6A" w:rsidP="00BC4F70">
      <w:pPr>
        <w:rPr>
          <w:rFonts w:cs="Arial"/>
          <w:b/>
          <w:sz w:val="16"/>
          <w:szCs w:val="16"/>
        </w:rPr>
      </w:pPr>
      <w:r w:rsidRPr="00411E34">
        <w:rPr>
          <w:rFonts w:cs="Arial"/>
          <w:b/>
          <w:sz w:val="16"/>
          <w:szCs w:val="16"/>
        </w:rPr>
        <w:lastRenderedPageBreak/>
        <w:t xml:space="preserve">Información de </w:t>
      </w:r>
      <w:r w:rsidR="00B8330C" w:rsidRPr="00411E34">
        <w:rPr>
          <w:rFonts w:cs="Arial"/>
          <w:b/>
          <w:sz w:val="16"/>
          <w:szCs w:val="16"/>
        </w:rPr>
        <w:t>r</w:t>
      </w:r>
      <w:r w:rsidRPr="00411E34">
        <w:rPr>
          <w:rFonts w:cs="Arial"/>
          <w:b/>
          <w:sz w:val="16"/>
          <w:szCs w:val="16"/>
        </w:rPr>
        <w:t xml:space="preserve">eferencia </w:t>
      </w:r>
    </w:p>
    <w:p w14:paraId="2B6D45A4" w14:textId="1A156A0A" w:rsidR="007A50D4" w:rsidRDefault="007A50D4" w:rsidP="00BC4F70">
      <w:pPr>
        <w:rPr>
          <w:rFonts w:cs="Arial"/>
          <w:b/>
          <w:sz w:val="16"/>
          <w:szCs w:val="16"/>
        </w:rPr>
      </w:pPr>
    </w:p>
    <w:tbl>
      <w:tblPr>
        <w:tblW w:w="459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851"/>
        <w:gridCol w:w="906"/>
      </w:tblGrid>
      <w:tr w:rsidR="00AF5C92" w:rsidRPr="00AF5C92" w14:paraId="1A1B3962" w14:textId="77777777" w:rsidTr="00AF5C92">
        <w:trPr>
          <w:trHeight w:val="450"/>
        </w:trPr>
        <w:tc>
          <w:tcPr>
            <w:tcW w:w="4592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8C935A1" w14:textId="77777777" w:rsidR="00AF5C92" w:rsidRPr="00AF5C92" w:rsidRDefault="00AF5C92" w:rsidP="00AF5C92">
            <w:pPr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AF5C92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Gasto</w:t>
            </w:r>
            <w:r w:rsidRPr="00AF5C92">
              <w:rPr>
                <w:rFonts w:cs="Arial"/>
                <w:color w:val="000000"/>
                <w:sz w:val="16"/>
                <w:szCs w:val="16"/>
                <w:vertAlign w:val="superscript"/>
                <w:lang w:val="es-MX" w:eastAsia="es-MX"/>
              </w:rPr>
              <w:t xml:space="preserve">1 </w:t>
            </w:r>
            <w:r w:rsidRPr="00AF5C92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público en educación relativo al PIB en países seleccionados</w:t>
            </w:r>
          </w:p>
        </w:tc>
      </w:tr>
      <w:tr w:rsidR="00AF5C92" w:rsidRPr="00AF5C92" w14:paraId="2D98AAAF" w14:textId="77777777" w:rsidTr="00AF5C92">
        <w:trPr>
          <w:trHeight w:val="300"/>
        </w:trPr>
        <w:tc>
          <w:tcPr>
            <w:tcW w:w="28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751A8D" w14:textId="77777777" w:rsidR="00AF5C92" w:rsidRPr="00AF5C92" w:rsidRDefault="00AF5C92" w:rsidP="00AF5C92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AF5C92">
              <w:rPr>
                <w:rFonts w:cs="Arial"/>
                <w:b/>
                <w:bCs/>
                <w:color w:val="000000"/>
                <w:sz w:val="16"/>
                <w:szCs w:val="16"/>
                <w:lang w:val="es-MX" w:eastAsia="es-MX"/>
              </w:rPr>
              <w:t>País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8864AC" w14:textId="77777777" w:rsidR="00AF5C92" w:rsidRPr="00AF5C92" w:rsidRDefault="00AF5C92" w:rsidP="00AF5C92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AF5C92">
              <w:rPr>
                <w:rFonts w:cs="Arial"/>
                <w:b/>
                <w:bCs/>
                <w:color w:val="000000"/>
                <w:sz w:val="16"/>
                <w:szCs w:val="16"/>
                <w:lang w:val="es-MX" w:eastAsia="es-MX"/>
              </w:rPr>
              <w:t>2008</w:t>
            </w:r>
          </w:p>
        </w:tc>
        <w:tc>
          <w:tcPr>
            <w:tcW w:w="90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8ADEF9" w14:textId="37BDF129" w:rsidR="00AF5C92" w:rsidRPr="00AF5C92" w:rsidRDefault="00AF5C92" w:rsidP="00AF5C92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AF5C92">
              <w:rPr>
                <w:rFonts w:cs="Arial"/>
                <w:b/>
                <w:bCs/>
                <w:color w:val="000000"/>
                <w:sz w:val="16"/>
                <w:szCs w:val="16"/>
                <w:lang w:val="es-MX" w:eastAsia="es-MX"/>
              </w:rPr>
              <w:t>201</w:t>
            </w:r>
            <w:r w:rsidR="000951B1">
              <w:rPr>
                <w:rFonts w:cs="Arial"/>
                <w:b/>
                <w:bCs/>
                <w:color w:val="000000"/>
                <w:sz w:val="16"/>
                <w:szCs w:val="16"/>
                <w:lang w:val="es-MX" w:eastAsia="es-MX"/>
              </w:rPr>
              <w:t>5</w:t>
            </w:r>
          </w:p>
        </w:tc>
      </w:tr>
      <w:tr w:rsidR="00AF5C92" w:rsidRPr="00AF5C92" w14:paraId="25FE9D83" w14:textId="77777777" w:rsidTr="00AF5C92">
        <w:trPr>
          <w:trHeight w:val="315"/>
        </w:trPr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D8C634" w14:textId="77777777" w:rsidR="00AF5C92" w:rsidRPr="00AF5C92" w:rsidRDefault="00AF5C92" w:rsidP="00AF5C92">
            <w:pPr>
              <w:rPr>
                <w:rFonts w:cs="Arial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388F6F" w14:textId="77777777" w:rsidR="00AF5C92" w:rsidRPr="00AF5C92" w:rsidRDefault="00AF5C92" w:rsidP="00AF5C92">
            <w:pPr>
              <w:rPr>
                <w:rFonts w:cs="Arial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9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E3674B" w14:textId="77777777" w:rsidR="00AF5C92" w:rsidRPr="00AF5C92" w:rsidRDefault="00AF5C92" w:rsidP="00AF5C92">
            <w:pPr>
              <w:rPr>
                <w:rFonts w:cs="Arial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AF5C92" w:rsidRPr="00AF5C92" w14:paraId="632745B6" w14:textId="77777777" w:rsidTr="00AF5C92">
        <w:trPr>
          <w:trHeight w:val="315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ED6855" w14:textId="77777777" w:rsidR="00AF5C92" w:rsidRPr="00AF5C92" w:rsidRDefault="00AF5C92" w:rsidP="00AF5C92">
            <w:pPr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AF5C92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Bolivia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C85222" w14:textId="77777777" w:rsidR="00AF5C92" w:rsidRPr="00AF5C92" w:rsidRDefault="00AF5C92" w:rsidP="00AF5C92">
            <w:pPr>
              <w:jc w:val="center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AF5C92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7.0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03A03E" w14:textId="23EB0BC9" w:rsidR="00AF5C92" w:rsidRPr="00AF5C92" w:rsidRDefault="000951B1" w:rsidP="00AF5C92">
            <w:pPr>
              <w:jc w:val="center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n.d.</w:t>
            </w:r>
          </w:p>
        </w:tc>
      </w:tr>
      <w:tr w:rsidR="00AF5C92" w:rsidRPr="00AF5C92" w14:paraId="49568E23" w14:textId="77777777" w:rsidTr="00AF5C92">
        <w:trPr>
          <w:trHeight w:val="315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AA3320" w14:textId="77777777" w:rsidR="00AF5C92" w:rsidRPr="00AF5C92" w:rsidRDefault="00AF5C92" w:rsidP="00AF5C92">
            <w:pPr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AF5C92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Chile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7854ED" w14:textId="77777777" w:rsidR="00AF5C92" w:rsidRPr="00AF5C92" w:rsidRDefault="00AF5C92" w:rsidP="00AF5C92">
            <w:pPr>
              <w:jc w:val="center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AF5C92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3.8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5EDD24" w14:textId="7C42D6A7" w:rsidR="00AF5C92" w:rsidRPr="00AF5C92" w:rsidRDefault="000951B1" w:rsidP="00AF5C92">
            <w:pPr>
              <w:jc w:val="center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4.9</w:t>
            </w:r>
          </w:p>
        </w:tc>
      </w:tr>
      <w:tr w:rsidR="00AF5C92" w:rsidRPr="00AF5C92" w14:paraId="71AEA62D" w14:textId="77777777" w:rsidTr="00AF5C92">
        <w:trPr>
          <w:trHeight w:val="315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97A950" w14:textId="77777777" w:rsidR="00AF5C92" w:rsidRPr="00AF5C92" w:rsidRDefault="00AF5C92" w:rsidP="00AF5C92">
            <w:pPr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AF5C92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México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471850" w14:textId="77777777" w:rsidR="00AF5C92" w:rsidRPr="00AF5C92" w:rsidRDefault="00AF5C92" w:rsidP="00AF5C92">
            <w:pPr>
              <w:jc w:val="center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AF5C92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4.8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7C7C04" w14:textId="2E23FEBA" w:rsidR="00AF5C92" w:rsidRPr="00AF5C92" w:rsidRDefault="00AF5C92" w:rsidP="00AF5C92">
            <w:pPr>
              <w:jc w:val="center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AF5C92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5.</w:t>
            </w:r>
            <w:r w:rsidR="000951B1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2</w:t>
            </w:r>
          </w:p>
        </w:tc>
      </w:tr>
      <w:tr w:rsidR="00AF5C92" w:rsidRPr="00AF5C92" w14:paraId="20D512E3" w14:textId="77777777" w:rsidTr="00AF5C92">
        <w:trPr>
          <w:trHeight w:val="315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2A0EF2" w14:textId="77777777" w:rsidR="00AF5C92" w:rsidRPr="00AF5C92" w:rsidRDefault="00AF5C92" w:rsidP="00AF5C92">
            <w:pPr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AF5C92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Perú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8C4AD4" w14:textId="77777777" w:rsidR="00AF5C92" w:rsidRPr="00AF5C92" w:rsidRDefault="00AF5C92" w:rsidP="00AF5C92">
            <w:pPr>
              <w:jc w:val="center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AF5C92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2.9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1F9CF4" w14:textId="511198ED" w:rsidR="00AF5C92" w:rsidRPr="00AF5C92" w:rsidRDefault="000951B1" w:rsidP="00AF5C92">
            <w:pPr>
              <w:jc w:val="center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4</w:t>
            </w:r>
            <w:r w:rsidR="00AF5C92" w:rsidRPr="00AF5C92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.</w:t>
            </w:r>
            <w:r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0</w:t>
            </w:r>
          </w:p>
        </w:tc>
      </w:tr>
      <w:tr w:rsidR="00AF5C92" w:rsidRPr="00AF5C92" w14:paraId="010EC468" w14:textId="77777777" w:rsidTr="00AF5C92">
        <w:trPr>
          <w:trHeight w:val="315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424491" w14:textId="77777777" w:rsidR="00AF5C92" w:rsidRPr="00AF5C92" w:rsidRDefault="00AF5C92" w:rsidP="00AF5C92">
            <w:pPr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AF5C92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España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4D27B2" w14:textId="77777777" w:rsidR="00AF5C92" w:rsidRPr="00AF5C92" w:rsidRDefault="00AF5C92" w:rsidP="00AF5C92">
            <w:pPr>
              <w:jc w:val="center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AF5C92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4.5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F8BA46" w14:textId="77777777" w:rsidR="00AF5C92" w:rsidRPr="00AF5C92" w:rsidRDefault="00AF5C92" w:rsidP="00AF5C92">
            <w:pPr>
              <w:jc w:val="center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AF5C92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4.3</w:t>
            </w:r>
          </w:p>
        </w:tc>
      </w:tr>
      <w:tr w:rsidR="00AF5C92" w:rsidRPr="00AF5C92" w14:paraId="20E922D9" w14:textId="77777777" w:rsidTr="00AF5C92">
        <w:trPr>
          <w:trHeight w:val="480"/>
        </w:trPr>
        <w:tc>
          <w:tcPr>
            <w:tcW w:w="4592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71F7DD" w14:textId="77777777" w:rsidR="00AF5C92" w:rsidRDefault="00AF5C92" w:rsidP="00AF5C92">
            <w:pPr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AF5C92">
              <w:rPr>
                <w:rFonts w:cs="Arial"/>
                <w:color w:val="000000"/>
                <w:sz w:val="16"/>
                <w:szCs w:val="16"/>
                <w:vertAlign w:val="superscript"/>
                <w:lang w:val="es-MX" w:eastAsia="es-MX"/>
              </w:rPr>
              <w:t>1</w:t>
            </w:r>
            <w:r w:rsidRPr="00AF5C92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 xml:space="preserve"> Excluye educación preprimaria y programas no asignados.</w:t>
            </w:r>
          </w:p>
          <w:p w14:paraId="2E918D5E" w14:textId="4B23531C" w:rsidR="000E136F" w:rsidRPr="00AF5C92" w:rsidRDefault="000E136F" w:rsidP="00AF5C92">
            <w:pPr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n.d. No disponible.</w:t>
            </w:r>
          </w:p>
        </w:tc>
      </w:tr>
      <w:tr w:rsidR="00AF5C92" w:rsidRPr="00AF5C92" w14:paraId="0516D5A3" w14:textId="77777777" w:rsidTr="00AF5C92">
        <w:trPr>
          <w:trHeight w:val="510"/>
        </w:trPr>
        <w:tc>
          <w:tcPr>
            <w:tcW w:w="45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EA99B1" w14:textId="68044E28" w:rsidR="00AF5C92" w:rsidRPr="00DE2006" w:rsidRDefault="00F06B6E" w:rsidP="00AF5C92">
            <w:pPr>
              <w:rPr>
                <w:rFonts w:cs="Arial"/>
                <w:sz w:val="16"/>
                <w:szCs w:val="16"/>
                <w:lang w:val="es-MX" w:eastAsia="es-MX"/>
              </w:rPr>
            </w:pPr>
            <w:hyperlink r:id="rId28" w:history="1">
              <w:r w:rsidR="00AF5C92" w:rsidRPr="00DE2006">
                <w:rPr>
                  <w:rFonts w:cs="Arial"/>
                  <w:sz w:val="16"/>
                  <w:szCs w:val="16"/>
                  <w:lang w:val="es-MX" w:eastAsia="es-MX"/>
                </w:rPr>
                <w:t xml:space="preserve">Fuente: UIS. </w:t>
              </w:r>
              <w:proofErr w:type="spellStart"/>
              <w:r w:rsidR="00AF5C92" w:rsidRPr="00DE2006">
                <w:rPr>
                  <w:rFonts w:cs="Arial"/>
                  <w:sz w:val="16"/>
                  <w:szCs w:val="16"/>
                  <w:lang w:val="es-MX" w:eastAsia="es-MX"/>
                </w:rPr>
                <w:t>Stat</w:t>
              </w:r>
              <w:proofErr w:type="spellEnd"/>
              <w:r w:rsidR="00AF5C92" w:rsidRPr="00DE2006">
                <w:rPr>
                  <w:rFonts w:cs="Arial"/>
                  <w:sz w:val="16"/>
                  <w:szCs w:val="16"/>
                  <w:lang w:val="es-MX" w:eastAsia="es-MX"/>
                </w:rPr>
                <w:t xml:space="preserve"> </w:t>
              </w:r>
              <w:r w:rsidR="003F2388">
                <w:rPr>
                  <w:rFonts w:cs="Arial"/>
                  <w:sz w:val="16"/>
                  <w:szCs w:val="16"/>
                  <w:lang w:val="es-MX" w:eastAsia="es-MX"/>
                </w:rPr>
                <w:t>(</w:t>
              </w:r>
              <w:r w:rsidR="00AF5C92" w:rsidRPr="00DE2006">
                <w:rPr>
                  <w:rFonts w:cs="Arial"/>
                  <w:sz w:val="16"/>
                  <w:szCs w:val="16"/>
                  <w:lang w:val="es-MX" w:eastAsia="es-MX"/>
                </w:rPr>
                <w:t>UNESCO-UIS</w:t>
              </w:r>
              <w:r w:rsidR="003F2388">
                <w:rPr>
                  <w:rFonts w:cs="Arial"/>
                  <w:sz w:val="16"/>
                  <w:szCs w:val="16"/>
                  <w:lang w:val="es-MX" w:eastAsia="es-MX"/>
                </w:rPr>
                <w:t xml:space="preserve">, </w:t>
              </w:r>
              <w:r w:rsidR="00AF5C92" w:rsidRPr="00DE2006">
                <w:rPr>
                  <w:rFonts w:cs="Arial"/>
                  <w:sz w:val="16"/>
                  <w:szCs w:val="16"/>
                  <w:lang w:val="es-MX" w:eastAsia="es-MX"/>
                </w:rPr>
                <w:t>201</w:t>
              </w:r>
              <w:r w:rsidR="00A304F2">
                <w:rPr>
                  <w:rFonts w:cs="Arial"/>
                  <w:sz w:val="16"/>
                  <w:szCs w:val="16"/>
                  <w:lang w:val="es-MX" w:eastAsia="es-MX"/>
                </w:rPr>
                <w:t>9</w:t>
              </w:r>
              <w:r w:rsidR="00AF5C92" w:rsidRPr="00DE2006">
                <w:rPr>
                  <w:rFonts w:cs="Arial"/>
                  <w:sz w:val="16"/>
                  <w:szCs w:val="16"/>
                  <w:lang w:val="es-MX" w:eastAsia="es-MX"/>
                </w:rPr>
                <w:t>)</w:t>
              </w:r>
              <w:r w:rsidR="0097657E">
                <w:rPr>
                  <w:rFonts w:cs="Arial"/>
                  <w:sz w:val="16"/>
                  <w:szCs w:val="16"/>
                  <w:lang w:val="es-MX" w:eastAsia="es-MX"/>
                </w:rPr>
                <w:t>.</w:t>
              </w:r>
              <w:r w:rsidR="00AF5C92" w:rsidRPr="00DE2006">
                <w:rPr>
                  <w:rFonts w:cs="Arial"/>
                  <w:sz w:val="16"/>
                  <w:szCs w:val="16"/>
                  <w:lang w:val="es-MX" w:eastAsia="es-MX"/>
                </w:rPr>
                <w:t xml:space="preserve"> </w:t>
              </w:r>
            </w:hyperlink>
          </w:p>
        </w:tc>
      </w:tr>
    </w:tbl>
    <w:p w14:paraId="3F09AB1E" w14:textId="2E4FDAE0" w:rsidR="00AF5C92" w:rsidRDefault="00AF5C92" w:rsidP="00BC4F70">
      <w:pPr>
        <w:rPr>
          <w:rFonts w:cs="Arial"/>
          <w:b/>
          <w:sz w:val="16"/>
          <w:szCs w:val="16"/>
        </w:rPr>
      </w:pPr>
    </w:p>
    <w:p w14:paraId="488C8E4E" w14:textId="77777777" w:rsidR="0097657E" w:rsidRDefault="0097657E" w:rsidP="00BC4F70">
      <w:pPr>
        <w:rPr>
          <w:rFonts w:cs="Arial"/>
          <w:b/>
          <w:sz w:val="16"/>
          <w:szCs w:val="16"/>
        </w:rPr>
      </w:pPr>
    </w:p>
    <w:p w14:paraId="38039A5D" w14:textId="7D45A631" w:rsidR="00AF5C92" w:rsidRDefault="00AF5C92" w:rsidP="00BC4F70">
      <w:pPr>
        <w:rPr>
          <w:rFonts w:cs="Arial"/>
          <w:b/>
          <w:sz w:val="16"/>
          <w:szCs w:val="16"/>
        </w:rPr>
      </w:pPr>
    </w:p>
    <w:tbl>
      <w:tblPr>
        <w:tblW w:w="70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1"/>
        <w:gridCol w:w="1417"/>
        <w:gridCol w:w="1204"/>
        <w:gridCol w:w="1200"/>
      </w:tblGrid>
      <w:tr w:rsidR="00AF5C92" w:rsidRPr="00AF5C92" w14:paraId="6B86AE85" w14:textId="77777777" w:rsidTr="00AF5C92">
        <w:trPr>
          <w:trHeight w:val="450"/>
        </w:trPr>
        <w:tc>
          <w:tcPr>
            <w:tcW w:w="7082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991DAE0" w14:textId="77777777" w:rsidR="00AF5C92" w:rsidRPr="00AF5C92" w:rsidRDefault="00AF5C92" w:rsidP="00AF5C92">
            <w:pPr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AF5C92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Producto Interno Bruto de países seleccionados (millones de dólares)</w:t>
            </w:r>
            <w:r w:rsidRPr="00AF5C92">
              <w:rPr>
                <w:rFonts w:cs="Arial"/>
                <w:color w:val="000000"/>
                <w:sz w:val="16"/>
                <w:szCs w:val="16"/>
                <w:vertAlign w:val="superscript"/>
                <w:lang w:val="es-MX" w:eastAsia="es-MX"/>
              </w:rPr>
              <w:t>1</w:t>
            </w:r>
          </w:p>
        </w:tc>
      </w:tr>
      <w:tr w:rsidR="00AF5C92" w:rsidRPr="00AF5C92" w14:paraId="7BA6433F" w14:textId="77777777" w:rsidTr="00AF5C92">
        <w:trPr>
          <w:trHeight w:val="69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E21AEE" w14:textId="77777777" w:rsidR="00AF5C92" w:rsidRPr="00AF5C92" w:rsidRDefault="00AF5C92" w:rsidP="00AF5C92">
            <w:pPr>
              <w:jc w:val="center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AF5C92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País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2FE49F" w14:textId="4FFE3A88" w:rsidR="00AF5C92" w:rsidRPr="00AF5C92" w:rsidRDefault="00C655FE" w:rsidP="00AF5C92">
            <w:pPr>
              <w:jc w:val="center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2013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62582B" w14:textId="4D2479D6" w:rsidR="00AF5C92" w:rsidRPr="00AF5C92" w:rsidRDefault="00AF5C92" w:rsidP="00AF5C92">
            <w:pPr>
              <w:jc w:val="center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AF5C92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201</w:t>
            </w:r>
            <w:r w:rsidR="00C655FE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DD2A22" w14:textId="77777777" w:rsidR="00AF5C92" w:rsidRPr="00AF5C92" w:rsidRDefault="00AF5C92" w:rsidP="00AF5C92">
            <w:pPr>
              <w:jc w:val="center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AF5C92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Tasa media de crecimiento anual</w:t>
            </w:r>
            <w:r w:rsidRPr="00AF5C92">
              <w:rPr>
                <w:rFonts w:cs="Arial"/>
                <w:color w:val="000000"/>
                <w:sz w:val="16"/>
                <w:szCs w:val="16"/>
                <w:vertAlign w:val="superscript"/>
                <w:lang w:val="es-MX" w:eastAsia="es-MX"/>
              </w:rPr>
              <w:t>2</w:t>
            </w:r>
          </w:p>
        </w:tc>
      </w:tr>
      <w:tr w:rsidR="00AF5C92" w:rsidRPr="00AF5C92" w14:paraId="2A731AC5" w14:textId="77777777" w:rsidTr="00C655FE">
        <w:trPr>
          <w:trHeight w:val="31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6ED37B" w14:textId="77777777" w:rsidR="00AF5C92" w:rsidRPr="00AF5C92" w:rsidRDefault="00AF5C92" w:rsidP="00AF5C92">
            <w:pPr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AF5C92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Bolivia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AB3D873" w14:textId="77B5607E" w:rsidR="00AF5C92" w:rsidRPr="00AF5C92" w:rsidRDefault="00C655FE" w:rsidP="00C655FE">
            <w:pPr>
              <w:jc w:val="right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63 344.8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0836130" w14:textId="0832C38C" w:rsidR="00AF5C92" w:rsidRPr="00AF5C92" w:rsidRDefault="00C655FE" w:rsidP="00C655FE">
            <w:pPr>
              <w:jc w:val="right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76 099.4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B3424C3" w14:textId="14D34762" w:rsidR="00AF5C92" w:rsidRPr="00AF5C92" w:rsidRDefault="00C655FE" w:rsidP="00C655FE">
            <w:pPr>
              <w:jc w:val="center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4.7</w:t>
            </w:r>
          </w:p>
        </w:tc>
      </w:tr>
      <w:tr w:rsidR="00AF5C92" w:rsidRPr="00AF5C92" w14:paraId="3145752A" w14:textId="77777777" w:rsidTr="00C655FE">
        <w:trPr>
          <w:trHeight w:val="31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D6B2E9" w14:textId="77777777" w:rsidR="00AF5C92" w:rsidRPr="00AF5C92" w:rsidRDefault="00AF5C92" w:rsidP="00AF5C92">
            <w:pPr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AF5C92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Chile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39A6916" w14:textId="0443B5D7" w:rsidR="00AF5C92" w:rsidRPr="00AF5C92" w:rsidRDefault="00C655FE" w:rsidP="00C655FE">
            <w:pPr>
              <w:jc w:val="right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384 156.0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5BE6609" w14:textId="1E848F87" w:rsidR="00AF5C92" w:rsidRPr="00AF5C92" w:rsidRDefault="00C655FE" w:rsidP="00C655FE">
            <w:pPr>
              <w:jc w:val="right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411 052.6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45D1041" w14:textId="26B84EE0" w:rsidR="00AF5C92" w:rsidRPr="00AF5C92" w:rsidRDefault="00C655FE" w:rsidP="00C655FE">
            <w:pPr>
              <w:jc w:val="center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1.7</w:t>
            </w:r>
          </w:p>
        </w:tc>
      </w:tr>
      <w:tr w:rsidR="00AF5C92" w:rsidRPr="00AF5C92" w14:paraId="05C96E04" w14:textId="77777777" w:rsidTr="00C655FE">
        <w:trPr>
          <w:trHeight w:val="31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ACA74C" w14:textId="77777777" w:rsidR="00AF5C92" w:rsidRPr="00AF5C92" w:rsidRDefault="00AF5C92" w:rsidP="00AF5C92">
            <w:pPr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AF5C92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México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A9ADCB0" w14:textId="083749C0" w:rsidR="00AF5C92" w:rsidRPr="00AF5C92" w:rsidRDefault="00C655FE" w:rsidP="00C655FE">
            <w:pPr>
              <w:jc w:val="right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2 007 759.2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21109C0" w14:textId="60E3FC87" w:rsidR="00AF5C92" w:rsidRPr="00AF5C92" w:rsidRDefault="00C655FE" w:rsidP="00C655FE">
            <w:pPr>
              <w:jc w:val="right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2 239 235.1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2B00556" w14:textId="5289523A" w:rsidR="00AF5C92" w:rsidRPr="00AF5C92" w:rsidRDefault="00C655FE" w:rsidP="00C655FE">
            <w:pPr>
              <w:jc w:val="center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2.8</w:t>
            </w:r>
          </w:p>
        </w:tc>
      </w:tr>
      <w:tr w:rsidR="00AF5C92" w:rsidRPr="00AF5C92" w14:paraId="199A0E91" w14:textId="77777777" w:rsidTr="00C655FE">
        <w:trPr>
          <w:trHeight w:val="31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8E44A8" w14:textId="77777777" w:rsidR="00AF5C92" w:rsidRPr="00AF5C92" w:rsidRDefault="00AF5C92" w:rsidP="00AF5C92">
            <w:pPr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AF5C92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Perú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BEC9329" w14:textId="4C14FE86" w:rsidR="00AF5C92" w:rsidRPr="00AF5C92" w:rsidRDefault="00C655FE" w:rsidP="00C655FE">
            <w:pPr>
              <w:jc w:val="right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349 374.0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DD65339" w14:textId="255BA1DC" w:rsidR="00AF5C92" w:rsidRPr="00AF5C92" w:rsidRDefault="00C655FE" w:rsidP="00C655FE">
            <w:pPr>
              <w:jc w:val="right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393 599.6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243AEEA" w14:textId="689B092E" w:rsidR="00AF5C92" w:rsidRPr="00AF5C92" w:rsidRDefault="00C655FE" w:rsidP="00C655FE">
            <w:pPr>
              <w:jc w:val="center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3.0</w:t>
            </w:r>
          </w:p>
        </w:tc>
      </w:tr>
      <w:tr w:rsidR="00AF5C92" w:rsidRPr="00AF5C92" w14:paraId="2C31F4BB" w14:textId="77777777" w:rsidTr="00C655FE">
        <w:trPr>
          <w:trHeight w:val="31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2D960F" w14:textId="77777777" w:rsidR="00AF5C92" w:rsidRPr="00AF5C92" w:rsidRDefault="00AF5C92" w:rsidP="00AF5C92">
            <w:pPr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AF5C92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España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DE29EEE" w14:textId="1A60A1FA" w:rsidR="00AF5C92" w:rsidRPr="00AF5C92" w:rsidRDefault="00C655FE" w:rsidP="00C655FE">
            <w:pPr>
              <w:jc w:val="right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1 430 252.5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9F7F65D" w14:textId="5CBE18E5" w:rsidR="00AF5C92" w:rsidRPr="00AF5C92" w:rsidRDefault="00C655FE" w:rsidP="00C655FE">
            <w:pPr>
              <w:jc w:val="right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1 596 133.3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8B328D3" w14:textId="3381054E" w:rsidR="00AF5C92" w:rsidRPr="00AF5C92" w:rsidRDefault="00C655FE" w:rsidP="00C655FE">
            <w:pPr>
              <w:jc w:val="center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2.8</w:t>
            </w:r>
          </w:p>
        </w:tc>
      </w:tr>
      <w:tr w:rsidR="00AF5C92" w:rsidRPr="00AF5C92" w14:paraId="264704F9" w14:textId="77777777" w:rsidTr="00AF5C92">
        <w:trPr>
          <w:trHeight w:val="450"/>
        </w:trPr>
        <w:tc>
          <w:tcPr>
            <w:tcW w:w="7082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8667C1" w14:textId="77777777" w:rsidR="00AF5C92" w:rsidRPr="00AF5C92" w:rsidRDefault="00AF5C92" w:rsidP="00AF5C92">
            <w:pPr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AF5C92">
              <w:rPr>
                <w:rFonts w:cs="Arial"/>
                <w:color w:val="000000"/>
                <w:sz w:val="16"/>
                <w:szCs w:val="16"/>
                <w:vertAlign w:val="superscript"/>
                <w:lang w:val="es-MX" w:eastAsia="es-MX"/>
              </w:rPr>
              <w:t>1</w:t>
            </w:r>
            <w:r w:rsidRPr="00AF5C92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 xml:space="preserve"> Valores expresados a precios constantes, en paridad de poder adquisitivo, base 2011.</w:t>
            </w:r>
          </w:p>
        </w:tc>
      </w:tr>
      <w:tr w:rsidR="00AF5C92" w:rsidRPr="00AF5C92" w14:paraId="617552A2" w14:textId="77777777" w:rsidTr="00E55C5C">
        <w:trPr>
          <w:trHeight w:val="496"/>
        </w:trPr>
        <w:tc>
          <w:tcPr>
            <w:tcW w:w="70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67E3B" w14:textId="77777777" w:rsidR="00AF5C92" w:rsidRPr="00AF5C92" w:rsidRDefault="00AF5C92" w:rsidP="00AF5C92">
            <w:pPr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AF5C92">
              <w:rPr>
                <w:rFonts w:cs="Arial"/>
                <w:color w:val="000000"/>
                <w:sz w:val="16"/>
                <w:szCs w:val="16"/>
                <w:vertAlign w:val="superscript"/>
                <w:lang w:val="es-MX" w:eastAsia="es-MX"/>
              </w:rPr>
              <w:t>2</w:t>
            </w:r>
            <w:r w:rsidRPr="00AF5C92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 xml:space="preserve"> Tasa media de crecimiento geométrica.</w:t>
            </w:r>
          </w:p>
        </w:tc>
      </w:tr>
      <w:tr w:rsidR="00AF5C92" w:rsidRPr="00AF5C92" w14:paraId="4AD79C4D" w14:textId="77777777" w:rsidTr="00AF5C92">
        <w:trPr>
          <w:trHeight w:val="810"/>
        </w:trPr>
        <w:tc>
          <w:tcPr>
            <w:tcW w:w="70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5F500D" w14:textId="083733EB" w:rsidR="00AF5C92" w:rsidRPr="00E55C5C" w:rsidRDefault="00310721" w:rsidP="00AF5C92">
            <w:pPr>
              <w:rPr>
                <w:rFonts w:cs="Arial"/>
                <w:sz w:val="16"/>
                <w:szCs w:val="16"/>
                <w:lang w:val="es-MX" w:eastAsia="es-MX"/>
              </w:rPr>
            </w:pPr>
            <w:r w:rsidRPr="00E55C5C">
              <w:rPr>
                <w:sz w:val="16"/>
                <w:szCs w:val="16"/>
              </w:rPr>
              <w:t xml:space="preserve">Fuente: </w:t>
            </w:r>
            <w:r w:rsidR="00A304F2" w:rsidRPr="00E55C5C">
              <w:rPr>
                <w:sz w:val="16"/>
                <w:szCs w:val="16"/>
              </w:rPr>
              <w:t xml:space="preserve">INEE, </w:t>
            </w:r>
            <w:r w:rsidRPr="00E55C5C">
              <w:rPr>
                <w:sz w:val="16"/>
                <w:szCs w:val="16"/>
              </w:rPr>
              <w:t xml:space="preserve">cálculos con base en International </w:t>
            </w:r>
            <w:r w:rsidRPr="00E55C5C">
              <w:rPr>
                <w:sz w:val="16"/>
                <w:szCs w:val="16"/>
                <w:lang w:val="es-MX"/>
              </w:rPr>
              <w:t>Comparison Program database</w:t>
            </w:r>
            <w:r w:rsidRPr="00E55C5C">
              <w:rPr>
                <w:sz w:val="16"/>
                <w:szCs w:val="16"/>
              </w:rPr>
              <w:t xml:space="preserve"> (WB, 2018), en </w:t>
            </w:r>
            <w:hyperlink r:id="rId29" w:history="1">
              <w:r w:rsidRPr="00E55C5C">
                <w:rPr>
                  <w:rStyle w:val="Hipervnculo"/>
                  <w:rFonts w:cs="Arial"/>
                  <w:sz w:val="16"/>
                  <w:szCs w:val="16"/>
                  <w:lang w:val="es-MX" w:eastAsia="es-MX"/>
                </w:rPr>
                <w:t>http://data.worldbank.org/indicator/NY.GDP.MKTP.PP.KD</w:t>
              </w:r>
            </w:hyperlink>
          </w:p>
          <w:p w14:paraId="6CEFE957" w14:textId="36E78ED5" w:rsidR="00310721" w:rsidRPr="00DE2006" w:rsidRDefault="00310721" w:rsidP="00AF5C92">
            <w:pPr>
              <w:rPr>
                <w:rFonts w:cs="Arial"/>
                <w:sz w:val="16"/>
                <w:szCs w:val="16"/>
                <w:lang w:val="es-MX" w:eastAsia="es-MX"/>
              </w:rPr>
            </w:pPr>
          </w:p>
        </w:tc>
      </w:tr>
    </w:tbl>
    <w:p w14:paraId="74059FC8" w14:textId="06E20CA4" w:rsidR="00AF5C92" w:rsidRDefault="00AF5C92" w:rsidP="00BC4F70">
      <w:pPr>
        <w:rPr>
          <w:rFonts w:cs="Arial"/>
          <w:b/>
          <w:sz w:val="16"/>
          <w:szCs w:val="16"/>
        </w:rPr>
      </w:pPr>
    </w:p>
    <w:p w14:paraId="290B96EB" w14:textId="3CA976B6" w:rsidR="00AF5C92" w:rsidRDefault="00AF5C92" w:rsidP="00BC4F70">
      <w:pPr>
        <w:rPr>
          <w:rFonts w:cs="Arial"/>
          <w:b/>
          <w:sz w:val="16"/>
          <w:szCs w:val="16"/>
        </w:rPr>
      </w:pPr>
    </w:p>
    <w:p w14:paraId="4C3BE694" w14:textId="31099A07" w:rsidR="00AF5C92" w:rsidRDefault="00AF5C92" w:rsidP="00BC4F70">
      <w:pPr>
        <w:rPr>
          <w:rFonts w:cs="Arial"/>
          <w:b/>
          <w:sz w:val="16"/>
          <w:szCs w:val="16"/>
        </w:rPr>
      </w:pPr>
    </w:p>
    <w:p w14:paraId="5866C559" w14:textId="1ECF9E98" w:rsidR="00AF5C92" w:rsidRDefault="00AF5C92" w:rsidP="00BC4F70">
      <w:pPr>
        <w:rPr>
          <w:rFonts w:cs="Arial"/>
          <w:b/>
          <w:sz w:val="16"/>
          <w:szCs w:val="16"/>
        </w:rPr>
      </w:pPr>
    </w:p>
    <w:p w14:paraId="1E03F441" w14:textId="18BE1C96" w:rsidR="00446AB6" w:rsidRDefault="00446AB6" w:rsidP="00BC4F70">
      <w:pPr>
        <w:rPr>
          <w:rFonts w:cs="Arial"/>
          <w:b/>
          <w:sz w:val="16"/>
          <w:szCs w:val="16"/>
        </w:rPr>
      </w:pPr>
    </w:p>
    <w:p w14:paraId="505B5818" w14:textId="77777777" w:rsidR="00446AB6" w:rsidRDefault="00446AB6" w:rsidP="00BC4F70">
      <w:pPr>
        <w:rPr>
          <w:rFonts w:cs="Arial"/>
          <w:b/>
          <w:sz w:val="16"/>
          <w:szCs w:val="16"/>
        </w:rPr>
      </w:pPr>
      <w:bookmarkStart w:id="2" w:name="_GoBack"/>
      <w:bookmarkEnd w:id="2"/>
    </w:p>
    <w:p w14:paraId="1D95BB98" w14:textId="144A7217" w:rsidR="00AF5C92" w:rsidRDefault="00AF5C92" w:rsidP="00BC4F70">
      <w:pPr>
        <w:rPr>
          <w:rFonts w:cs="Arial"/>
          <w:b/>
          <w:sz w:val="16"/>
          <w:szCs w:val="16"/>
        </w:rPr>
      </w:pPr>
    </w:p>
    <w:p w14:paraId="070794DB" w14:textId="48E64763" w:rsidR="00AF5C92" w:rsidRDefault="00AF5C92" w:rsidP="00BC4F70">
      <w:pPr>
        <w:rPr>
          <w:rFonts w:cs="Arial"/>
          <w:b/>
          <w:sz w:val="16"/>
          <w:szCs w:val="16"/>
        </w:rPr>
      </w:pPr>
    </w:p>
    <w:p w14:paraId="454D72C9" w14:textId="202A2DC4" w:rsidR="00AF5C92" w:rsidRDefault="00AF5C92" w:rsidP="00BC4F70">
      <w:pPr>
        <w:rPr>
          <w:rFonts w:cs="Arial"/>
          <w:b/>
          <w:sz w:val="16"/>
          <w:szCs w:val="16"/>
        </w:rPr>
      </w:pPr>
    </w:p>
    <w:p w14:paraId="0D2A6F34" w14:textId="2FF8DDCE" w:rsidR="00AF5C92" w:rsidRDefault="00AF5C92" w:rsidP="00BC4F70">
      <w:pPr>
        <w:rPr>
          <w:rFonts w:cs="Arial"/>
          <w:b/>
          <w:sz w:val="16"/>
          <w:szCs w:val="16"/>
        </w:rPr>
      </w:pPr>
    </w:p>
    <w:p w14:paraId="7961FF59" w14:textId="3F8DFF87" w:rsidR="00AF5C92" w:rsidRDefault="00AF5C92" w:rsidP="00BC4F70">
      <w:pPr>
        <w:rPr>
          <w:rFonts w:cs="Arial"/>
          <w:b/>
          <w:sz w:val="16"/>
          <w:szCs w:val="16"/>
        </w:rPr>
      </w:pPr>
    </w:p>
    <w:p w14:paraId="4590C42C" w14:textId="5DC29590" w:rsidR="00AF5C92" w:rsidRDefault="00AF5C92" w:rsidP="00BC4F70">
      <w:pPr>
        <w:rPr>
          <w:rFonts w:cs="Arial"/>
          <w:b/>
          <w:sz w:val="16"/>
          <w:szCs w:val="16"/>
        </w:rPr>
      </w:pPr>
    </w:p>
    <w:p w14:paraId="0CF09D64" w14:textId="05D2C446" w:rsidR="00AF5C92" w:rsidRDefault="00AF5C92" w:rsidP="00BC4F70">
      <w:pPr>
        <w:rPr>
          <w:rFonts w:cs="Arial"/>
          <w:b/>
          <w:sz w:val="16"/>
          <w:szCs w:val="16"/>
        </w:rPr>
      </w:pPr>
    </w:p>
    <w:p w14:paraId="01C054BA" w14:textId="77777777" w:rsidR="00AF5C92" w:rsidRDefault="00AF5C92" w:rsidP="00BC4F70">
      <w:pPr>
        <w:rPr>
          <w:rFonts w:cs="Arial"/>
          <w:b/>
          <w:sz w:val="16"/>
          <w:szCs w:val="16"/>
        </w:rPr>
      </w:pPr>
    </w:p>
    <w:p w14:paraId="0197CC52" w14:textId="37860BEE" w:rsidR="00AF5C92" w:rsidRDefault="00AF5C92" w:rsidP="00BC4F70">
      <w:pPr>
        <w:rPr>
          <w:rFonts w:cs="Arial"/>
          <w:b/>
          <w:sz w:val="16"/>
          <w:szCs w:val="16"/>
        </w:rPr>
      </w:pPr>
    </w:p>
    <w:p w14:paraId="2C846E66" w14:textId="6F8C0230" w:rsidR="00AF5C92" w:rsidRDefault="00AF5C92" w:rsidP="00BC4F70">
      <w:pPr>
        <w:rPr>
          <w:rFonts w:cs="Arial"/>
          <w:b/>
          <w:sz w:val="16"/>
          <w:szCs w:val="16"/>
        </w:rPr>
      </w:pPr>
    </w:p>
    <w:p w14:paraId="693CE20C" w14:textId="1FFE2F98" w:rsidR="00AF5C92" w:rsidRDefault="00AF5C92" w:rsidP="00BC4F70">
      <w:pPr>
        <w:rPr>
          <w:rFonts w:cs="Arial"/>
          <w:b/>
          <w:sz w:val="16"/>
          <w:szCs w:val="16"/>
        </w:rPr>
      </w:pPr>
    </w:p>
    <w:p w14:paraId="50CB9281" w14:textId="77777777" w:rsidR="00AF5C92" w:rsidRDefault="00AF5C92" w:rsidP="00BC4F70">
      <w:pPr>
        <w:rPr>
          <w:rFonts w:cs="Arial"/>
          <w:b/>
          <w:sz w:val="16"/>
          <w:szCs w:val="16"/>
        </w:rPr>
      </w:pPr>
    </w:p>
    <w:p w14:paraId="0FDC1317" w14:textId="08D518C0" w:rsidR="00AF5C92" w:rsidRDefault="00AF5C92" w:rsidP="00BC4F70">
      <w:pPr>
        <w:rPr>
          <w:rFonts w:cs="Arial"/>
          <w:b/>
          <w:sz w:val="16"/>
          <w:szCs w:val="16"/>
        </w:rPr>
      </w:pPr>
    </w:p>
    <w:tbl>
      <w:tblPr>
        <w:tblW w:w="65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4"/>
        <w:gridCol w:w="2106"/>
        <w:gridCol w:w="1721"/>
      </w:tblGrid>
      <w:tr w:rsidR="00AF5C92" w:rsidRPr="00AF5C92" w14:paraId="4CEAFFCE" w14:textId="77777777" w:rsidTr="00956651">
        <w:trPr>
          <w:trHeight w:val="480"/>
        </w:trPr>
        <w:tc>
          <w:tcPr>
            <w:tcW w:w="6521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A9ABA53" w14:textId="589BB78E" w:rsidR="00AF5C92" w:rsidRPr="00AF5C92" w:rsidRDefault="00AF5C92" w:rsidP="00AF5C92">
            <w:pPr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AF5C92">
              <w:rPr>
                <w:rFonts w:cs="Arial"/>
                <w:color w:val="000000"/>
                <w:sz w:val="16"/>
                <w:szCs w:val="16"/>
                <w:lang w:val="es-MX" w:eastAsia="es-MX"/>
              </w:rPr>
              <w:lastRenderedPageBreak/>
              <w:t>Producto Interno Bruto (millones de pesos a precios de 2013)</w:t>
            </w:r>
          </w:p>
        </w:tc>
      </w:tr>
      <w:tr w:rsidR="00AF5C92" w:rsidRPr="00AF5C92" w14:paraId="19AA1D51" w14:textId="77777777" w:rsidTr="00956651">
        <w:trPr>
          <w:trHeight w:val="69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647320" w14:textId="77777777" w:rsidR="00AF5C92" w:rsidRPr="00AF5C92" w:rsidRDefault="00AF5C92" w:rsidP="00AF5C92">
            <w:pPr>
              <w:jc w:val="center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AF5C92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Año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A1850B" w14:textId="77777777" w:rsidR="00AF5C92" w:rsidRPr="00AF5C92" w:rsidRDefault="00AF5C92" w:rsidP="00AF5C92">
            <w:pPr>
              <w:jc w:val="center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AF5C92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PIB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79B88F" w14:textId="48CF7A9D" w:rsidR="00AF5C92" w:rsidRPr="00AF5C92" w:rsidRDefault="00AF5C92" w:rsidP="00AF5C92">
            <w:pPr>
              <w:jc w:val="center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AF5C92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Tasa media de crecimiento anual</w:t>
            </w:r>
            <w:r w:rsidR="00F06B6E">
              <w:rPr>
                <w:rFonts w:cs="Arial"/>
                <w:color w:val="000000"/>
                <w:sz w:val="16"/>
                <w:szCs w:val="16"/>
                <w:vertAlign w:val="superscript"/>
                <w:lang w:val="es-MX" w:eastAsia="es-MX"/>
              </w:rPr>
              <w:t>1</w:t>
            </w:r>
          </w:p>
        </w:tc>
      </w:tr>
      <w:tr w:rsidR="00AF5C92" w:rsidRPr="00AF5C92" w14:paraId="7A86C56F" w14:textId="77777777" w:rsidTr="00956651">
        <w:trPr>
          <w:trHeight w:val="31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337E53" w14:textId="77777777" w:rsidR="00AF5C92" w:rsidRPr="00AF5C92" w:rsidRDefault="00AF5C92" w:rsidP="00AF5C92">
            <w:pPr>
              <w:jc w:val="center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AF5C92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1995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881FE16" w14:textId="667AFE8A" w:rsidR="00AF5C92" w:rsidRPr="00D824D9" w:rsidRDefault="00D824D9" w:rsidP="00D824D9">
            <w:pPr>
              <w:jc w:val="right"/>
              <w:rPr>
                <w:rFonts w:cs="Arial"/>
                <w:sz w:val="16"/>
                <w:szCs w:val="20"/>
                <w:lang w:val="es-MX" w:eastAsia="es-MX"/>
              </w:rPr>
            </w:pPr>
            <w:r w:rsidRPr="00D824D9">
              <w:rPr>
                <w:rFonts w:cs="Arial"/>
                <w:sz w:val="16"/>
                <w:szCs w:val="20"/>
              </w:rPr>
              <w:t>9</w:t>
            </w:r>
            <w:r>
              <w:rPr>
                <w:rFonts w:cs="Arial"/>
                <w:sz w:val="16"/>
                <w:szCs w:val="20"/>
              </w:rPr>
              <w:t xml:space="preserve"> </w:t>
            </w:r>
            <w:r w:rsidRPr="00D824D9">
              <w:rPr>
                <w:rFonts w:cs="Arial"/>
                <w:sz w:val="16"/>
                <w:szCs w:val="20"/>
              </w:rPr>
              <w:t>996</w:t>
            </w:r>
            <w:r>
              <w:rPr>
                <w:rFonts w:cs="Arial"/>
                <w:sz w:val="16"/>
                <w:szCs w:val="20"/>
              </w:rPr>
              <w:t xml:space="preserve"> </w:t>
            </w:r>
            <w:r w:rsidRPr="00D824D9">
              <w:rPr>
                <w:rFonts w:cs="Arial"/>
                <w:sz w:val="16"/>
                <w:szCs w:val="20"/>
              </w:rPr>
              <w:t>720.5</w:t>
            </w:r>
          </w:p>
        </w:tc>
        <w:tc>
          <w:tcPr>
            <w:tcW w:w="172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FD53DA" w14:textId="77777777" w:rsidR="00AF5C92" w:rsidRPr="00AF5C92" w:rsidRDefault="00AF5C92" w:rsidP="00AF5C92">
            <w:pPr>
              <w:jc w:val="center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AF5C92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5.3</w:t>
            </w:r>
          </w:p>
        </w:tc>
      </w:tr>
      <w:tr w:rsidR="00AF5C92" w:rsidRPr="00AF5C92" w14:paraId="70FA9D6E" w14:textId="77777777" w:rsidTr="00956651">
        <w:trPr>
          <w:trHeight w:val="31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511B41" w14:textId="77777777" w:rsidR="00AF5C92" w:rsidRPr="00AF5C92" w:rsidRDefault="00AF5C92" w:rsidP="00AF5C92">
            <w:pPr>
              <w:jc w:val="center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AF5C92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2000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58F3DB2" w14:textId="1783EDD2" w:rsidR="00AF5C92" w:rsidRPr="00D824D9" w:rsidRDefault="00D824D9" w:rsidP="00D824D9">
            <w:pPr>
              <w:jc w:val="right"/>
              <w:rPr>
                <w:rFonts w:cs="Arial"/>
                <w:sz w:val="16"/>
                <w:szCs w:val="20"/>
                <w:lang w:val="es-MX" w:eastAsia="es-MX"/>
              </w:rPr>
            </w:pPr>
            <w:r w:rsidRPr="00D824D9">
              <w:rPr>
                <w:rFonts w:cs="Arial"/>
                <w:sz w:val="16"/>
                <w:szCs w:val="20"/>
              </w:rPr>
              <w:t>12</w:t>
            </w:r>
            <w:r>
              <w:rPr>
                <w:rFonts w:cs="Arial"/>
                <w:sz w:val="16"/>
                <w:szCs w:val="20"/>
              </w:rPr>
              <w:t xml:space="preserve"> </w:t>
            </w:r>
            <w:r w:rsidRPr="00D824D9">
              <w:rPr>
                <w:rFonts w:cs="Arial"/>
                <w:sz w:val="16"/>
                <w:szCs w:val="20"/>
              </w:rPr>
              <w:t>932</w:t>
            </w:r>
            <w:r>
              <w:rPr>
                <w:rFonts w:cs="Arial"/>
                <w:sz w:val="16"/>
                <w:szCs w:val="20"/>
              </w:rPr>
              <w:t xml:space="preserve"> </w:t>
            </w:r>
            <w:r w:rsidRPr="00D824D9">
              <w:rPr>
                <w:rFonts w:cs="Arial"/>
                <w:sz w:val="16"/>
                <w:szCs w:val="20"/>
              </w:rPr>
              <w:t>921.3</w:t>
            </w:r>
          </w:p>
        </w:tc>
        <w:tc>
          <w:tcPr>
            <w:tcW w:w="17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3E882A" w14:textId="77777777" w:rsidR="00AF5C92" w:rsidRPr="00AF5C92" w:rsidRDefault="00AF5C92" w:rsidP="00AF5C92">
            <w:pPr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AF5C92" w:rsidRPr="00AF5C92" w14:paraId="583DF58C" w14:textId="77777777" w:rsidTr="00956651">
        <w:trPr>
          <w:trHeight w:val="31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766D8F" w14:textId="77777777" w:rsidR="00AF5C92" w:rsidRPr="00AF5C92" w:rsidRDefault="00AF5C92" w:rsidP="00AF5C92">
            <w:pPr>
              <w:jc w:val="center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AF5C92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2001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F55F6AB" w14:textId="3B47442A" w:rsidR="00AF5C92" w:rsidRPr="00D824D9" w:rsidRDefault="00D824D9" w:rsidP="00D824D9">
            <w:pPr>
              <w:jc w:val="right"/>
              <w:rPr>
                <w:rFonts w:cs="Arial"/>
                <w:sz w:val="16"/>
                <w:szCs w:val="20"/>
                <w:lang w:val="es-MX" w:eastAsia="es-MX"/>
              </w:rPr>
            </w:pPr>
            <w:r w:rsidRPr="00D824D9">
              <w:rPr>
                <w:rFonts w:cs="Arial"/>
                <w:sz w:val="16"/>
                <w:szCs w:val="20"/>
              </w:rPr>
              <w:t>12</w:t>
            </w:r>
            <w:r>
              <w:rPr>
                <w:rFonts w:cs="Arial"/>
                <w:sz w:val="16"/>
                <w:szCs w:val="20"/>
              </w:rPr>
              <w:t xml:space="preserve"> </w:t>
            </w:r>
            <w:r w:rsidRPr="00D824D9">
              <w:rPr>
                <w:rFonts w:cs="Arial"/>
                <w:sz w:val="16"/>
                <w:szCs w:val="20"/>
              </w:rPr>
              <w:t>880</w:t>
            </w:r>
            <w:r>
              <w:rPr>
                <w:rFonts w:cs="Arial"/>
                <w:sz w:val="16"/>
                <w:szCs w:val="20"/>
              </w:rPr>
              <w:t xml:space="preserve"> </w:t>
            </w:r>
            <w:r w:rsidRPr="00D824D9">
              <w:rPr>
                <w:rFonts w:cs="Arial"/>
                <w:sz w:val="16"/>
                <w:szCs w:val="20"/>
              </w:rPr>
              <w:t>621.9</w:t>
            </w:r>
          </w:p>
        </w:tc>
        <w:tc>
          <w:tcPr>
            <w:tcW w:w="172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E4D14B" w14:textId="77777777" w:rsidR="00AF5C92" w:rsidRPr="00AF5C92" w:rsidRDefault="00AF5C92" w:rsidP="00AF5C92">
            <w:pPr>
              <w:jc w:val="center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AF5C92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2.4</w:t>
            </w:r>
          </w:p>
        </w:tc>
      </w:tr>
      <w:tr w:rsidR="00AF5C92" w:rsidRPr="00AF5C92" w14:paraId="36774913" w14:textId="77777777" w:rsidTr="00956651">
        <w:trPr>
          <w:trHeight w:val="31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01EAC0" w14:textId="77777777" w:rsidR="00AF5C92" w:rsidRPr="00AF5C92" w:rsidRDefault="00AF5C92" w:rsidP="00AF5C92">
            <w:pPr>
              <w:jc w:val="center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AF5C92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2006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097C15C" w14:textId="380EE5E9" w:rsidR="00AF5C92" w:rsidRPr="00D824D9" w:rsidRDefault="00D824D9" w:rsidP="00D824D9">
            <w:pPr>
              <w:jc w:val="right"/>
              <w:rPr>
                <w:rFonts w:cs="Arial"/>
                <w:sz w:val="16"/>
                <w:szCs w:val="20"/>
                <w:lang w:val="es-MX" w:eastAsia="es-MX"/>
              </w:rPr>
            </w:pPr>
            <w:r w:rsidRPr="00D824D9">
              <w:rPr>
                <w:rFonts w:cs="Arial"/>
                <w:sz w:val="16"/>
                <w:szCs w:val="20"/>
              </w:rPr>
              <w:t>14</w:t>
            </w:r>
            <w:r>
              <w:rPr>
                <w:rFonts w:cs="Arial"/>
                <w:sz w:val="16"/>
                <w:szCs w:val="20"/>
              </w:rPr>
              <w:t xml:space="preserve"> </w:t>
            </w:r>
            <w:r w:rsidRPr="00D824D9">
              <w:rPr>
                <w:rFonts w:cs="Arial"/>
                <w:sz w:val="16"/>
                <w:szCs w:val="20"/>
              </w:rPr>
              <w:t>511</w:t>
            </w:r>
            <w:r>
              <w:rPr>
                <w:rFonts w:cs="Arial"/>
                <w:sz w:val="16"/>
                <w:szCs w:val="20"/>
              </w:rPr>
              <w:t xml:space="preserve"> </w:t>
            </w:r>
            <w:r w:rsidRPr="00D824D9">
              <w:rPr>
                <w:rFonts w:cs="Arial"/>
                <w:sz w:val="16"/>
                <w:szCs w:val="20"/>
              </w:rPr>
              <w:t>307.2</w:t>
            </w:r>
          </w:p>
        </w:tc>
        <w:tc>
          <w:tcPr>
            <w:tcW w:w="17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E1B8B1" w14:textId="77777777" w:rsidR="00AF5C92" w:rsidRPr="00AF5C92" w:rsidRDefault="00AF5C92" w:rsidP="00AF5C92">
            <w:pPr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AF5C92" w:rsidRPr="00AF5C92" w14:paraId="5FBDC17B" w14:textId="77777777" w:rsidTr="00956651">
        <w:trPr>
          <w:trHeight w:val="31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3B3186" w14:textId="77777777" w:rsidR="00AF5C92" w:rsidRPr="00AF5C92" w:rsidRDefault="00AF5C92" w:rsidP="00AF5C92">
            <w:pPr>
              <w:jc w:val="center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AF5C92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2007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EE7B06F" w14:textId="2E96EFA4" w:rsidR="00AF5C92" w:rsidRPr="00D824D9" w:rsidRDefault="00D824D9" w:rsidP="00D824D9">
            <w:pPr>
              <w:jc w:val="right"/>
              <w:rPr>
                <w:rFonts w:cs="Arial"/>
                <w:sz w:val="16"/>
                <w:szCs w:val="20"/>
                <w:lang w:val="es-MX" w:eastAsia="es-MX"/>
              </w:rPr>
            </w:pPr>
            <w:r w:rsidRPr="00D824D9">
              <w:rPr>
                <w:rFonts w:cs="Arial"/>
                <w:sz w:val="16"/>
                <w:szCs w:val="20"/>
              </w:rPr>
              <w:t>14</w:t>
            </w:r>
            <w:r>
              <w:rPr>
                <w:rFonts w:cs="Arial"/>
                <w:sz w:val="16"/>
                <w:szCs w:val="20"/>
              </w:rPr>
              <w:t xml:space="preserve"> </w:t>
            </w:r>
            <w:r w:rsidRPr="00D824D9">
              <w:rPr>
                <w:rFonts w:cs="Arial"/>
                <w:sz w:val="16"/>
                <w:szCs w:val="20"/>
              </w:rPr>
              <w:t>843</w:t>
            </w:r>
            <w:r>
              <w:rPr>
                <w:rFonts w:cs="Arial"/>
                <w:sz w:val="16"/>
                <w:szCs w:val="20"/>
              </w:rPr>
              <w:t xml:space="preserve"> </w:t>
            </w:r>
            <w:r w:rsidRPr="00D824D9">
              <w:rPr>
                <w:rFonts w:cs="Arial"/>
                <w:sz w:val="16"/>
                <w:szCs w:val="20"/>
              </w:rPr>
              <w:t>826.0</w:t>
            </w:r>
          </w:p>
        </w:tc>
        <w:tc>
          <w:tcPr>
            <w:tcW w:w="172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684220" w14:textId="77777777" w:rsidR="00AF5C92" w:rsidRPr="00AF5C92" w:rsidRDefault="00AF5C92" w:rsidP="00AF5C92">
            <w:pPr>
              <w:jc w:val="center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AF5C92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1.6</w:t>
            </w:r>
          </w:p>
        </w:tc>
      </w:tr>
      <w:tr w:rsidR="00AF5C92" w:rsidRPr="00AF5C92" w14:paraId="28EA5160" w14:textId="77777777" w:rsidTr="00956651">
        <w:trPr>
          <w:trHeight w:val="31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B46F31" w14:textId="77777777" w:rsidR="00AF5C92" w:rsidRPr="00AF5C92" w:rsidRDefault="00AF5C92" w:rsidP="00AF5C92">
            <w:pPr>
              <w:jc w:val="center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AF5C92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2012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E1A66AB" w14:textId="6F7431CE" w:rsidR="00AF5C92" w:rsidRPr="00D824D9" w:rsidRDefault="00D824D9" w:rsidP="00D824D9">
            <w:pPr>
              <w:jc w:val="right"/>
              <w:rPr>
                <w:rFonts w:cs="Arial"/>
                <w:sz w:val="16"/>
                <w:szCs w:val="20"/>
                <w:lang w:val="es-MX" w:eastAsia="es-MX"/>
              </w:rPr>
            </w:pPr>
            <w:r w:rsidRPr="00D824D9">
              <w:rPr>
                <w:rFonts w:cs="Arial"/>
                <w:sz w:val="16"/>
                <w:szCs w:val="20"/>
              </w:rPr>
              <w:t>16</w:t>
            </w:r>
            <w:r>
              <w:rPr>
                <w:rFonts w:cs="Arial"/>
                <w:sz w:val="16"/>
                <w:szCs w:val="20"/>
              </w:rPr>
              <w:t xml:space="preserve"> </w:t>
            </w:r>
            <w:r w:rsidRPr="00D824D9">
              <w:rPr>
                <w:rFonts w:cs="Arial"/>
                <w:sz w:val="16"/>
                <w:szCs w:val="20"/>
              </w:rPr>
              <w:t>059</w:t>
            </w:r>
            <w:r>
              <w:rPr>
                <w:rFonts w:cs="Arial"/>
                <w:sz w:val="16"/>
                <w:szCs w:val="20"/>
              </w:rPr>
              <w:t xml:space="preserve"> </w:t>
            </w:r>
            <w:r w:rsidRPr="00D824D9">
              <w:rPr>
                <w:rFonts w:cs="Arial"/>
                <w:sz w:val="16"/>
                <w:szCs w:val="20"/>
              </w:rPr>
              <w:t>723.7</w:t>
            </w:r>
          </w:p>
        </w:tc>
        <w:tc>
          <w:tcPr>
            <w:tcW w:w="17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E18CFB" w14:textId="77777777" w:rsidR="00AF5C92" w:rsidRPr="00AF5C92" w:rsidRDefault="00AF5C92" w:rsidP="00AF5C92">
            <w:pPr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AF5C92" w:rsidRPr="00AF5C92" w14:paraId="30F6FE7B" w14:textId="77777777" w:rsidTr="00956651">
        <w:trPr>
          <w:trHeight w:val="31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40A1B2" w14:textId="77777777" w:rsidR="00AF5C92" w:rsidRPr="00AF5C92" w:rsidRDefault="00AF5C92" w:rsidP="00AF5C92">
            <w:pPr>
              <w:jc w:val="center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AF5C92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2013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A8810FE" w14:textId="57A793C3" w:rsidR="00AF5C92" w:rsidRPr="00D824D9" w:rsidRDefault="00D824D9" w:rsidP="00D824D9">
            <w:pPr>
              <w:jc w:val="right"/>
              <w:rPr>
                <w:rFonts w:cs="Arial"/>
                <w:sz w:val="16"/>
                <w:szCs w:val="20"/>
                <w:lang w:val="es-MX" w:eastAsia="es-MX"/>
              </w:rPr>
            </w:pPr>
            <w:r w:rsidRPr="00D824D9">
              <w:rPr>
                <w:rFonts w:cs="Arial"/>
                <w:sz w:val="16"/>
                <w:szCs w:val="20"/>
              </w:rPr>
              <w:t>16</w:t>
            </w:r>
            <w:r>
              <w:rPr>
                <w:rFonts w:cs="Arial"/>
                <w:sz w:val="16"/>
                <w:szCs w:val="20"/>
              </w:rPr>
              <w:t xml:space="preserve"> </w:t>
            </w:r>
            <w:r w:rsidRPr="00D824D9">
              <w:rPr>
                <w:rFonts w:cs="Arial"/>
                <w:sz w:val="16"/>
                <w:szCs w:val="20"/>
              </w:rPr>
              <w:t>277</w:t>
            </w:r>
            <w:r>
              <w:rPr>
                <w:rFonts w:cs="Arial"/>
                <w:sz w:val="16"/>
                <w:szCs w:val="20"/>
              </w:rPr>
              <w:t xml:space="preserve"> </w:t>
            </w:r>
            <w:r w:rsidRPr="00D824D9">
              <w:rPr>
                <w:rFonts w:cs="Arial"/>
                <w:sz w:val="16"/>
                <w:szCs w:val="20"/>
              </w:rPr>
              <w:t>187.1</w:t>
            </w:r>
          </w:p>
        </w:tc>
        <w:tc>
          <w:tcPr>
            <w:tcW w:w="172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00A642" w14:textId="7E77C05C" w:rsidR="00AF5C92" w:rsidRPr="00AF5C92" w:rsidRDefault="00AF5C92" w:rsidP="00AF5C92">
            <w:pPr>
              <w:jc w:val="center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AF5C92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2.</w:t>
            </w:r>
            <w:r w:rsidR="00D824D9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4</w:t>
            </w:r>
          </w:p>
        </w:tc>
      </w:tr>
      <w:tr w:rsidR="00AF5C92" w:rsidRPr="00AF5C92" w14:paraId="5E904BA5" w14:textId="77777777" w:rsidTr="00956651">
        <w:trPr>
          <w:trHeight w:val="31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8D799F" w14:textId="469A3F94" w:rsidR="00AF5C92" w:rsidRPr="00AF5C92" w:rsidRDefault="00AF5C92" w:rsidP="00AF5C92">
            <w:pPr>
              <w:jc w:val="center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AF5C92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201</w:t>
            </w:r>
            <w:r w:rsidR="00956651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8</w:t>
            </w:r>
            <w:r w:rsidRPr="00AF5C92">
              <w:rPr>
                <w:rFonts w:cs="Arial"/>
                <w:color w:val="000000"/>
                <w:sz w:val="16"/>
                <w:szCs w:val="16"/>
                <w:vertAlign w:val="superscript"/>
                <w:lang w:val="es-MX" w:eastAsia="es-MX"/>
              </w:rPr>
              <w:t>e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47F806E" w14:textId="52DC7748" w:rsidR="00AF5C92" w:rsidRPr="00D824D9" w:rsidRDefault="00D824D9" w:rsidP="00D824D9">
            <w:pPr>
              <w:jc w:val="right"/>
              <w:rPr>
                <w:rFonts w:cs="Arial"/>
                <w:sz w:val="16"/>
                <w:szCs w:val="20"/>
                <w:lang w:val="es-MX" w:eastAsia="es-MX"/>
              </w:rPr>
            </w:pPr>
            <w:r w:rsidRPr="00D824D9">
              <w:rPr>
                <w:rFonts w:cs="Arial"/>
                <w:sz w:val="16"/>
                <w:szCs w:val="20"/>
              </w:rPr>
              <w:t>18</w:t>
            </w:r>
            <w:r>
              <w:rPr>
                <w:rFonts w:cs="Arial"/>
                <w:sz w:val="16"/>
                <w:szCs w:val="20"/>
              </w:rPr>
              <w:t xml:space="preserve"> </w:t>
            </w:r>
            <w:r w:rsidRPr="00D824D9">
              <w:rPr>
                <w:rFonts w:cs="Arial"/>
                <w:sz w:val="16"/>
                <w:szCs w:val="20"/>
              </w:rPr>
              <w:t>338</w:t>
            </w:r>
            <w:r>
              <w:rPr>
                <w:rFonts w:cs="Arial"/>
                <w:sz w:val="16"/>
                <w:szCs w:val="20"/>
              </w:rPr>
              <w:t xml:space="preserve"> </w:t>
            </w:r>
            <w:r w:rsidRPr="00D824D9">
              <w:rPr>
                <w:rFonts w:cs="Arial"/>
                <w:sz w:val="16"/>
                <w:szCs w:val="20"/>
              </w:rPr>
              <w:t>891.4</w:t>
            </w:r>
          </w:p>
        </w:tc>
        <w:tc>
          <w:tcPr>
            <w:tcW w:w="17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6EFA98" w14:textId="77777777" w:rsidR="00AF5C92" w:rsidRPr="00AF5C92" w:rsidRDefault="00AF5C92" w:rsidP="00AF5C92">
            <w:pPr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AF5C92" w:rsidRPr="00AF5C92" w14:paraId="2572C2DB" w14:textId="77777777" w:rsidTr="00956651">
        <w:trPr>
          <w:trHeight w:val="300"/>
        </w:trPr>
        <w:tc>
          <w:tcPr>
            <w:tcW w:w="65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3683D" w14:textId="5A9FB45F" w:rsidR="00AF5C92" w:rsidRPr="00AF5C92" w:rsidRDefault="00F06B6E" w:rsidP="00AF5C92">
            <w:pPr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>
              <w:rPr>
                <w:rFonts w:cs="Arial"/>
                <w:color w:val="000000"/>
                <w:sz w:val="16"/>
                <w:szCs w:val="16"/>
                <w:vertAlign w:val="superscript"/>
                <w:lang w:val="es-MX" w:eastAsia="es-MX"/>
              </w:rPr>
              <w:t>1</w:t>
            </w:r>
            <w:r w:rsidR="00AF5C92" w:rsidRPr="00AF5C92">
              <w:rPr>
                <w:rFonts w:cs="Arial"/>
                <w:color w:val="000000"/>
                <w:sz w:val="16"/>
                <w:szCs w:val="16"/>
                <w:vertAlign w:val="superscript"/>
                <w:lang w:val="es-MX" w:eastAsia="es-MX"/>
              </w:rPr>
              <w:t xml:space="preserve"> </w:t>
            </w:r>
            <w:r w:rsidR="00AF5C92" w:rsidRPr="00AF5C92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Tasa media de crecimiento geométrica.</w:t>
            </w:r>
          </w:p>
        </w:tc>
      </w:tr>
      <w:tr w:rsidR="00AF5C92" w:rsidRPr="00AF5C92" w14:paraId="0A4E9F34" w14:textId="77777777" w:rsidTr="00956651">
        <w:trPr>
          <w:trHeight w:val="30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A051B" w14:textId="77777777" w:rsidR="00AF5C92" w:rsidRPr="00AF5C92" w:rsidRDefault="00AF5C92" w:rsidP="00AF5C92">
            <w:pPr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proofErr w:type="spellStart"/>
            <w:r w:rsidRPr="00AF5C92">
              <w:rPr>
                <w:rFonts w:cs="Arial"/>
                <w:color w:val="000000"/>
                <w:sz w:val="16"/>
                <w:szCs w:val="16"/>
                <w:vertAlign w:val="superscript"/>
                <w:lang w:val="es-MX" w:eastAsia="es-MX"/>
              </w:rPr>
              <w:t>e</w:t>
            </w:r>
            <w:proofErr w:type="spellEnd"/>
            <w:r w:rsidRPr="00AF5C92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 xml:space="preserve"> Estimado.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2A378" w14:textId="77777777" w:rsidR="00AF5C92" w:rsidRPr="00AF5C92" w:rsidRDefault="00AF5C92" w:rsidP="00AF5C92">
            <w:pPr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5F115" w14:textId="77777777" w:rsidR="00AF5C92" w:rsidRPr="00AF5C92" w:rsidRDefault="00AF5C92" w:rsidP="00AF5C92">
            <w:pPr>
              <w:rPr>
                <w:rFonts w:ascii="Times New Roman" w:hAnsi="Times New Roman"/>
                <w:sz w:val="20"/>
                <w:szCs w:val="20"/>
                <w:lang w:val="es-MX" w:eastAsia="es-MX"/>
              </w:rPr>
            </w:pPr>
          </w:p>
        </w:tc>
      </w:tr>
      <w:tr w:rsidR="00AF5C92" w:rsidRPr="00AF5C92" w14:paraId="4180D7C2" w14:textId="77777777" w:rsidTr="00956651">
        <w:trPr>
          <w:trHeight w:val="450"/>
        </w:trPr>
        <w:tc>
          <w:tcPr>
            <w:tcW w:w="65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3E48F0" w14:textId="3BD78A76" w:rsidR="00AF5C92" w:rsidRPr="00AF5C92" w:rsidRDefault="00AF5C92" w:rsidP="009B27B3">
            <w:pPr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AF5C92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 xml:space="preserve">Fuente: </w:t>
            </w:r>
            <w:r w:rsidR="00A304F2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 xml:space="preserve">INEE, </w:t>
            </w:r>
            <w:r w:rsidRPr="00AF5C92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 xml:space="preserve">cálculos con base en PIB y Cuentas </w:t>
            </w:r>
            <w:r w:rsidR="00956651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Nacionales</w:t>
            </w:r>
            <w:r w:rsidRPr="00AF5C92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 xml:space="preserve"> </w:t>
            </w:r>
            <w:r w:rsidR="00956651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(</w:t>
            </w:r>
            <w:r w:rsidRPr="00AF5C92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I</w:t>
            </w:r>
            <w:r w:rsidR="009B27B3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NEGI</w:t>
            </w:r>
            <w:r w:rsidR="00956651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 xml:space="preserve">, </w:t>
            </w:r>
            <w:r w:rsidRPr="00AF5C92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201</w:t>
            </w:r>
            <w:r w:rsidR="00BE6F73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8</w:t>
            </w:r>
            <w:r w:rsidR="00060C85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d</w:t>
            </w:r>
            <w:r w:rsidRPr="00AF5C92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).</w:t>
            </w:r>
          </w:p>
        </w:tc>
      </w:tr>
    </w:tbl>
    <w:p w14:paraId="7223247C" w14:textId="77777777" w:rsidR="00AF5C92" w:rsidRDefault="00AF5C92" w:rsidP="00BC4F70">
      <w:pPr>
        <w:rPr>
          <w:rFonts w:cs="Arial"/>
          <w:b/>
          <w:sz w:val="16"/>
          <w:szCs w:val="16"/>
        </w:rPr>
      </w:pPr>
    </w:p>
    <w:sectPr w:rsidR="00AF5C92" w:rsidSect="00DA06F9"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Condensed"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BF105B"/>
    <w:multiLevelType w:val="hybridMultilevel"/>
    <w:tmpl w:val="6212D300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674"/>
    <w:rsid w:val="000039F0"/>
    <w:rsid w:val="000057C3"/>
    <w:rsid w:val="00026151"/>
    <w:rsid w:val="000313C2"/>
    <w:rsid w:val="00036C2B"/>
    <w:rsid w:val="00047CC8"/>
    <w:rsid w:val="00055B4F"/>
    <w:rsid w:val="00060C85"/>
    <w:rsid w:val="00065615"/>
    <w:rsid w:val="000811AD"/>
    <w:rsid w:val="00081796"/>
    <w:rsid w:val="0008726B"/>
    <w:rsid w:val="00094E4E"/>
    <w:rsid w:val="000951B1"/>
    <w:rsid w:val="000C3B8D"/>
    <w:rsid w:val="000D0067"/>
    <w:rsid w:val="000D1C4D"/>
    <w:rsid w:val="000E136F"/>
    <w:rsid w:val="000E7811"/>
    <w:rsid w:val="000F1174"/>
    <w:rsid w:val="000F552A"/>
    <w:rsid w:val="000F78CE"/>
    <w:rsid w:val="001118F8"/>
    <w:rsid w:val="00120220"/>
    <w:rsid w:val="001239BD"/>
    <w:rsid w:val="00140D0F"/>
    <w:rsid w:val="00141439"/>
    <w:rsid w:val="0014328C"/>
    <w:rsid w:val="001465DA"/>
    <w:rsid w:val="00154497"/>
    <w:rsid w:val="001565EC"/>
    <w:rsid w:val="0016469D"/>
    <w:rsid w:val="00167428"/>
    <w:rsid w:val="0018630E"/>
    <w:rsid w:val="00187B14"/>
    <w:rsid w:val="00190E28"/>
    <w:rsid w:val="001A3C15"/>
    <w:rsid w:val="001B61BE"/>
    <w:rsid w:val="001C31DD"/>
    <w:rsid w:val="001C3BB1"/>
    <w:rsid w:val="001C67E5"/>
    <w:rsid w:val="001E6B6C"/>
    <w:rsid w:val="00202CFC"/>
    <w:rsid w:val="00205E74"/>
    <w:rsid w:val="0021124C"/>
    <w:rsid w:val="00214FA8"/>
    <w:rsid w:val="002230DA"/>
    <w:rsid w:val="002316CA"/>
    <w:rsid w:val="002328DC"/>
    <w:rsid w:val="00232A8D"/>
    <w:rsid w:val="00233E5F"/>
    <w:rsid w:val="00236F80"/>
    <w:rsid w:val="00240D80"/>
    <w:rsid w:val="00242743"/>
    <w:rsid w:val="002537A5"/>
    <w:rsid w:val="00262211"/>
    <w:rsid w:val="002636D3"/>
    <w:rsid w:val="00265F6D"/>
    <w:rsid w:val="002750E4"/>
    <w:rsid w:val="00275E13"/>
    <w:rsid w:val="00286483"/>
    <w:rsid w:val="002911D8"/>
    <w:rsid w:val="0029652B"/>
    <w:rsid w:val="002A6A4A"/>
    <w:rsid w:val="002C57BE"/>
    <w:rsid w:val="002D4BEC"/>
    <w:rsid w:val="002D5244"/>
    <w:rsid w:val="002D7302"/>
    <w:rsid w:val="002E3535"/>
    <w:rsid w:val="002E48DC"/>
    <w:rsid w:val="002E6857"/>
    <w:rsid w:val="00307E52"/>
    <w:rsid w:val="00310721"/>
    <w:rsid w:val="00322E6D"/>
    <w:rsid w:val="00325532"/>
    <w:rsid w:val="003309F0"/>
    <w:rsid w:val="00337E6B"/>
    <w:rsid w:val="0034194B"/>
    <w:rsid w:val="003436D4"/>
    <w:rsid w:val="0034513F"/>
    <w:rsid w:val="00352969"/>
    <w:rsid w:val="00362A36"/>
    <w:rsid w:val="0036456C"/>
    <w:rsid w:val="00371217"/>
    <w:rsid w:val="00375136"/>
    <w:rsid w:val="0039062A"/>
    <w:rsid w:val="00392552"/>
    <w:rsid w:val="00392709"/>
    <w:rsid w:val="00397811"/>
    <w:rsid w:val="003A1D68"/>
    <w:rsid w:val="003A6547"/>
    <w:rsid w:val="003A7563"/>
    <w:rsid w:val="003B3DBD"/>
    <w:rsid w:val="003B6B9B"/>
    <w:rsid w:val="003C1F5C"/>
    <w:rsid w:val="003C590C"/>
    <w:rsid w:val="003C6188"/>
    <w:rsid w:val="003C625B"/>
    <w:rsid w:val="003C7372"/>
    <w:rsid w:val="003D0E7B"/>
    <w:rsid w:val="003E2BF2"/>
    <w:rsid w:val="003E2CE9"/>
    <w:rsid w:val="003F033A"/>
    <w:rsid w:val="003F2388"/>
    <w:rsid w:val="003F35E4"/>
    <w:rsid w:val="00411B35"/>
    <w:rsid w:val="00411E34"/>
    <w:rsid w:val="00435609"/>
    <w:rsid w:val="00441C10"/>
    <w:rsid w:val="00446AB6"/>
    <w:rsid w:val="00474106"/>
    <w:rsid w:val="00477E30"/>
    <w:rsid w:val="00482B0E"/>
    <w:rsid w:val="00484C02"/>
    <w:rsid w:val="004901D2"/>
    <w:rsid w:val="00495584"/>
    <w:rsid w:val="00497135"/>
    <w:rsid w:val="004971FE"/>
    <w:rsid w:val="004B33F1"/>
    <w:rsid w:val="004B63D5"/>
    <w:rsid w:val="004D21E8"/>
    <w:rsid w:val="004E098A"/>
    <w:rsid w:val="004F583E"/>
    <w:rsid w:val="005012FE"/>
    <w:rsid w:val="00512172"/>
    <w:rsid w:val="00521E4E"/>
    <w:rsid w:val="00530FC4"/>
    <w:rsid w:val="00546903"/>
    <w:rsid w:val="00554777"/>
    <w:rsid w:val="00555649"/>
    <w:rsid w:val="005556DC"/>
    <w:rsid w:val="0057031C"/>
    <w:rsid w:val="00582E50"/>
    <w:rsid w:val="005833F0"/>
    <w:rsid w:val="00584538"/>
    <w:rsid w:val="005A19DD"/>
    <w:rsid w:val="005A3D4D"/>
    <w:rsid w:val="005A672E"/>
    <w:rsid w:val="005C32BC"/>
    <w:rsid w:val="005D361E"/>
    <w:rsid w:val="005E20E6"/>
    <w:rsid w:val="005E38DA"/>
    <w:rsid w:val="005E4E5E"/>
    <w:rsid w:val="005F3EF5"/>
    <w:rsid w:val="00603E80"/>
    <w:rsid w:val="00605141"/>
    <w:rsid w:val="00605341"/>
    <w:rsid w:val="00606F3F"/>
    <w:rsid w:val="0060761A"/>
    <w:rsid w:val="00611A61"/>
    <w:rsid w:val="0061294D"/>
    <w:rsid w:val="00613D5A"/>
    <w:rsid w:val="00622234"/>
    <w:rsid w:val="006230D0"/>
    <w:rsid w:val="00633DE0"/>
    <w:rsid w:val="006375BF"/>
    <w:rsid w:val="00646261"/>
    <w:rsid w:val="0065722F"/>
    <w:rsid w:val="00657411"/>
    <w:rsid w:val="00660368"/>
    <w:rsid w:val="00664558"/>
    <w:rsid w:val="006647FD"/>
    <w:rsid w:val="0068301B"/>
    <w:rsid w:val="00684CB3"/>
    <w:rsid w:val="00686390"/>
    <w:rsid w:val="00693D21"/>
    <w:rsid w:val="006A3E53"/>
    <w:rsid w:val="006D08A8"/>
    <w:rsid w:val="006D5A55"/>
    <w:rsid w:val="006D6D6B"/>
    <w:rsid w:val="006E5F72"/>
    <w:rsid w:val="006E6419"/>
    <w:rsid w:val="00700325"/>
    <w:rsid w:val="0072576C"/>
    <w:rsid w:val="007259CC"/>
    <w:rsid w:val="007400E4"/>
    <w:rsid w:val="00743B8C"/>
    <w:rsid w:val="0075696A"/>
    <w:rsid w:val="00762143"/>
    <w:rsid w:val="007654F6"/>
    <w:rsid w:val="00771FD5"/>
    <w:rsid w:val="007756EC"/>
    <w:rsid w:val="007865A0"/>
    <w:rsid w:val="007A36C6"/>
    <w:rsid w:val="007A50D4"/>
    <w:rsid w:val="007C35D2"/>
    <w:rsid w:val="007E60E7"/>
    <w:rsid w:val="007F2092"/>
    <w:rsid w:val="007F433D"/>
    <w:rsid w:val="008259AE"/>
    <w:rsid w:val="00833436"/>
    <w:rsid w:val="00834801"/>
    <w:rsid w:val="00836118"/>
    <w:rsid w:val="00842522"/>
    <w:rsid w:val="0084571F"/>
    <w:rsid w:val="008461ED"/>
    <w:rsid w:val="00861674"/>
    <w:rsid w:val="008624B0"/>
    <w:rsid w:val="00866732"/>
    <w:rsid w:val="008703F4"/>
    <w:rsid w:val="0089222A"/>
    <w:rsid w:val="00893D6C"/>
    <w:rsid w:val="008A6C8C"/>
    <w:rsid w:val="008B31B1"/>
    <w:rsid w:val="008C30AE"/>
    <w:rsid w:val="008C70FA"/>
    <w:rsid w:val="008E6032"/>
    <w:rsid w:val="008F5434"/>
    <w:rsid w:val="008F56D2"/>
    <w:rsid w:val="00901FA1"/>
    <w:rsid w:val="009057BD"/>
    <w:rsid w:val="009310B4"/>
    <w:rsid w:val="00940716"/>
    <w:rsid w:val="009479B2"/>
    <w:rsid w:val="00956651"/>
    <w:rsid w:val="009613F2"/>
    <w:rsid w:val="009648CB"/>
    <w:rsid w:val="0097657E"/>
    <w:rsid w:val="009803FD"/>
    <w:rsid w:val="009A12C5"/>
    <w:rsid w:val="009B199E"/>
    <w:rsid w:val="009B27B3"/>
    <w:rsid w:val="009B384F"/>
    <w:rsid w:val="009B7F68"/>
    <w:rsid w:val="009C6E87"/>
    <w:rsid w:val="009D066F"/>
    <w:rsid w:val="009D0B34"/>
    <w:rsid w:val="009D6366"/>
    <w:rsid w:val="009E177B"/>
    <w:rsid w:val="009E6D54"/>
    <w:rsid w:val="009F143C"/>
    <w:rsid w:val="009F38C2"/>
    <w:rsid w:val="00A06423"/>
    <w:rsid w:val="00A21457"/>
    <w:rsid w:val="00A27AF2"/>
    <w:rsid w:val="00A304F2"/>
    <w:rsid w:val="00A45082"/>
    <w:rsid w:val="00A45B29"/>
    <w:rsid w:val="00A4634F"/>
    <w:rsid w:val="00A56216"/>
    <w:rsid w:val="00A62ED8"/>
    <w:rsid w:val="00A70AC0"/>
    <w:rsid w:val="00A71136"/>
    <w:rsid w:val="00A77CC3"/>
    <w:rsid w:val="00A85BB0"/>
    <w:rsid w:val="00A86C89"/>
    <w:rsid w:val="00A96101"/>
    <w:rsid w:val="00A969B9"/>
    <w:rsid w:val="00AA3E29"/>
    <w:rsid w:val="00AA689F"/>
    <w:rsid w:val="00AB2745"/>
    <w:rsid w:val="00AB75BE"/>
    <w:rsid w:val="00AF5C92"/>
    <w:rsid w:val="00B06E8F"/>
    <w:rsid w:val="00B11A2B"/>
    <w:rsid w:val="00B1604E"/>
    <w:rsid w:val="00B17F61"/>
    <w:rsid w:val="00B27971"/>
    <w:rsid w:val="00B34287"/>
    <w:rsid w:val="00B36CEA"/>
    <w:rsid w:val="00B47176"/>
    <w:rsid w:val="00B543F9"/>
    <w:rsid w:val="00B57430"/>
    <w:rsid w:val="00B62726"/>
    <w:rsid w:val="00B73868"/>
    <w:rsid w:val="00B8075F"/>
    <w:rsid w:val="00B81D6A"/>
    <w:rsid w:val="00B8330C"/>
    <w:rsid w:val="00B84189"/>
    <w:rsid w:val="00B84643"/>
    <w:rsid w:val="00B855D7"/>
    <w:rsid w:val="00B9040C"/>
    <w:rsid w:val="00B919B7"/>
    <w:rsid w:val="00B95B36"/>
    <w:rsid w:val="00BA6AF1"/>
    <w:rsid w:val="00BB3432"/>
    <w:rsid w:val="00BC0188"/>
    <w:rsid w:val="00BC4F70"/>
    <w:rsid w:val="00BD7A52"/>
    <w:rsid w:val="00BE2574"/>
    <w:rsid w:val="00BE5EF0"/>
    <w:rsid w:val="00BE6F73"/>
    <w:rsid w:val="00BF2394"/>
    <w:rsid w:val="00BF295A"/>
    <w:rsid w:val="00BF4B45"/>
    <w:rsid w:val="00C00B49"/>
    <w:rsid w:val="00C0550C"/>
    <w:rsid w:val="00C13573"/>
    <w:rsid w:val="00C17976"/>
    <w:rsid w:val="00C21904"/>
    <w:rsid w:val="00C230F7"/>
    <w:rsid w:val="00C372F4"/>
    <w:rsid w:val="00C43A96"/>
    <w:rsid w:val="00C44B1D"/>
    <w:rsid w:val="00C538BA"/>
    <w:rsid w:val="00C64A88"/>
    <w:rsid w:val="00C655FE"/>
    <w:rsid w:val="00C65C70"/>
    <w:rsid w:val="00C66B6E"/>
    <w:rsid w:val="00C73342"/>
    <w:rsid w:val="00C86617"/>
    <w:rsid w:val="00C87F56"/>
    <w:rsid w:val="00C93D34"/>
    <w:rsid w:val="00C94993"/>
    <w:rsid w:val="00CB0FA0"/>
    <w:rsid w:val="00CC1FE1"/>
    <w:rsid w:val="00CD4658"/>
    <w:rsid w:val="00CE01E8"/>
    <w:rsid w:val="00CE172C"/>
    <w:rsid w:val="00CF2274"/>
    <w:rsid w:val="00CF3159"/>
    <w:rsid w:val="00D07F74"/>
    <w:rsid w:val="00D11E8E"/>
    <w:rsid w:val="00D158CF"/>
    <w:rsid w:val="00D34839"/>
    <w:rsid w:val="00D34A19"/>
    <w:rsid w:val="00D36F6C"/>
    <w:rsid w:val="00D42E14"/>
    <w:rsid w:val="00D53DD6"/>
    <w:rsid w:val="00D60699"/>
    <w:rsid w:val="00D67358"/>
    <w:rsid w:val="00D67DB8"/>
    <w:rsid w:val="00D824D9"/>
    <w:rsid w:val="00D951DF"/>
    <w:rsid w:val="00D97E74"/>
    <w:rsid w:val="00DA06F9"/>
    <w:rsid w:val="00DA585A"/>
    <w:rsid w:val="00DB20FF"/>
    <w:rsid w:val="00DB4F26"/>
    <w:rsid w:val="00DC0F18"/>
    <w:rsid w:val="00DD46C9"/>
    <w:rsid w:val="00DD4BFB"/>
    <w:rsid w:val="00DE1A45"/>
    <w:rsid w:val="00DE2006"/>
    <w:rsid w:val="00DE2B6B"/>
    <w:rsid w:val="00DE3F55"/>
    <w:rsid w:val="00DE50F7"/>
    <w:rsid w:val="00DE61DD"/>
    <w:rsid w:val="00DF46CC"/>
    <w:rsid w:val="00E0180E"/>
    <w:rsid w:val="00E01E82"/>
    <w:rsid w:val="00E02B6C"/>
    <w:rsid w:val="00E1200B"/>
    <w:rsid w:val="00E135B0"/>
    <w:rsid w:val="00E175B4"/>
    <w:rsid w:val="00E179A4"/>
    <w:rsid w:val="00E23465"/>
    <w:rsid w:val="00E24762"/>
    <w:rsid w:val="00E252E9"/>
    <w:rsid w:val="00E3485E"/>
    <w:rsid w:val="00E34DEB"/>
    <w:rsid w:val="00E42A18"/>
    <w:rsid w:val="00E55C5C"/>
    <w:rsid w:val="00E5689C"/>
    <w:rsid w:val="00E616D8"/>
    <w:rsid w:val="00E629A1"/>
    <w:rsid w:val="00E63F17"/>
    <w:rsid w:val="00E70243"/>
    <w:rsid w:val="00E731D3"/>
    <w:rsid w:val="00E912E1"/>
    <w:rsid w:val="00E920E8"/>
    <w:rsid w:val="00EC17C0"/>
    <w:rsid w:val="00ED2CCF"/>
    <w:rsid w:val="00ED47CA"/>
    <w:rsid w:val="00EE1217"/>
    <w:rsid w:val="00EE12A6"/>
    <w:rsid w:val="00EE3A7E"/>
    <w:rsid w:val="00F06B6E"/>
    <w:rsid w:val="00F1196C"/>
    <w:rsid w:val="00F13083"/>
    <w:rsid w:val="00F17FBB"/>
    <w:rsid w:val="00F23FD2"/>
    <w:rsid w:val="00F26354"/>
    <w:rsid w:val="00F30E47"/>
    <w:rsid w:val="00F3113F"/>
    <w:rsid w:val="00F37BB8"/>
    <w:rsid w:val="00F51A8F"/>
    <w:rsid w:val="00F53BB3"/>
    <w:rsid w:val="00F566F9"/>
    <w:rsid w:val="00F66B5D"/>
    <w:rsid w:val="00F70D28"/>
    <w:rsid w:val="00F70FFB"/>
    <w:rsid w:val="00F71AAB"/>
    <w:rsid w:val="00F722FB"/>
    <w:rsid w:val="00F91C70"/>
    <w:rsid w:val="00F95210"/>
    <w:rsid w:val="00FB4844"/>
    <w:rsid w:val="00FC2205"/>
    <w:rsid w:val="00FC4ED7"/>
    <w:rsid w:val="00FD5815"/>
    <w:rsid w:val="00FD7F68"/>
    <w:rsid w:val="00FE09C5"/>
    <w:rsid w:val="00FE2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A15E7BA"/>
  <w15:docId w15:val="{3113459F-C57F-419D-B640-F250719B8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61674"/>
    <w:rPr>
      <w:rFonts w:ascii="Arial" w:hAnsi="Arial"/>
      <w:sz w:val="24"/>
      <w:szCs w:val="24"/>
      <w:lang w:val="es-ES" w:eastAsia="es-ES"/>
    </w:rPr>
  </w:style>
  <w:style w:type="paragraph" w:styleId="Ttulo3">
    <w:name w:val="heading 3"/>
    <w:basedOn w:val="Normal"/>
    <w:next w:val="Normal"/>
    <w:qFormat/>
    <w:rsid w:val="00861674"/>
    <w:pPr>
      <w:keepNext/>
      <w:ind w:left="180" w:right="110"/>
      <w:outlineLvl w:val="2"/>
    </w:pPr>
    <w:rPr>
      <w:rFonts w:ascii="Univers Condensed" w:hAnsi="Univers Condensed" w:cs="Arial"/>
      <w:b/>
      <w:bCs/>
      <w:sz w:val="20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861674"/>
    <w:pPr>
      <w:tabs>
        <w:tab w:val="center" w:pos="4419"/>
        <w:tab w:val="right" w:pos="8838"/>
      </w:tabs>
    </w:pPr>
  </w:style>
  <w:style w:type="table" w:styleId="Tablaconcuadrcula">
    <w:name w:val="Table Grid"/>
    <w:basedOn w:val="Tablanormal"/>
    <w:rsid w:val="008616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semiHidden/>
    <w:rsid w:val="00A86C89"/>
    <w:rPr>
      <w:rFonts w:ascii="Tahoma" w:hAnsi="Tahoma" w:cs="Tahoma"/>
      <w:sz w:val="16"/>
      <w:szCs w:val="16"/>
    </w:rPr>
  </w:style>
  <w:style w:type="character" w:styleId="Refdecomentario">
    <w:name w:val="annotation reference"/>
    <w:rsid w:val="002750E4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2750E4"/>
    <w:rPr>
      <w:sz w:val="20"/>
      <w:szCs w:val="20"/>
    </w:rPr>
  </w:style>
  <w:style w:type="character" w:customStyle="1" w:styleId="TextocomentarioCar">
    <w:name w:val="Texto comentario Car"/>
    <w:link w:val="Textocomentario"/>
    <w:rsid w:val="002750E4"/>
    <w:rPr>
      <w:rFonts w:ascii="Arial" w:hAnsi="Arial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2750E4"/>
    <w:rPr>
      <w:b/>
      <w:bCs/>
    </w:rPr>
  </w:style>
  <w:style w:type="character" w:customStyle="1" w:styleId="AsuntodelcomentarioCar">
    <w:name w:val="Asunto del comentario Car"/>
    <w:link w:val="Asuntodelcomentario"/>
    <w:rsid w:val="002750E4"/>
    <w:rPr>
      <w:rFonts w:ascii="Arial" w:hAnsi="Arial"/>
      <w:b/>
      <w:bCs/>
      <w:lang w:val="es-ES" w:eastAsia="es-ES"/>
    </w:rPr>
  </w:style>
  <w:style w:type="paragraph" w:styleId="Revisin">
    <w:name w:val="Revision"/>
    <w:hidden/>
    <w:uiPriority w:val="99"/>
    <w:semiHidden/>
    <w:rsid w:val="00FE09C5"/>
    <w:rPr>
      <w:rFonts w:ascii="Arial" w:hAnsi="Arial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6E5F72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605341"/>
    <w:rPr>
      <w:color w:val="0000FF" w:themeColor="hyperlink"/>
      <w:u w:val="single"/>
    </w:rPr>
  </w:style>
  <w:style w:type="paragraph" w:styleId="Sinespaciado">
    <w:name w:val="No Spacing"/>
    <w:uiPriority w:val="1"/>
    <w:qFormat/>
    <w:rsid w:val="0060534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vnculovisitado">
    <w:name w:val="FollowedHyperlink"/>
    <w:basedOn w:val="Fuentedeprrafopredeter"/>
    <w:semiHidden/>
    <w:unhideWhenUsed/>
    <w:rsid w:val="00411E34"/>
    <w:rPr>
      <w:color w:val="800080" w:themeColor="followed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7657E"/>
    <w:rPr>
      <w:color w:val="808080"/>
      <w:shd w:val="clear" w:color="auto" w:fill="E6E6E6"/>
    </w:rPr>
  </w:style>
  <w:style w:type="character" w:styleId="Mencinsinresolver">
    <w:name w:val="Unresolved Mention"/>
    <w:basedOn w:val="Fuentedeprrafopredeter"/>
    <w:uiPriority w:val="99"/>
    <w:semiHidden/>
    <w:unhideWhenUsed/>
    <w:rsid w:val="003F238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15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6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3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6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4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6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5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1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8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9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1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2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0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6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6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0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6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9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0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7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6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0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" Type="http://schemas.openxmlformats.org/officeDocument/2006/relationships/styles" Target="styles.xml"/><Relationship Id="rId21" Type="http://schemas.openxmlformats.org/officeDocument/2006/relationships/oleObject" Target="embeddings/oleObject8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hyperlink" Target="http://data.worldbank.org/indicator/NY.GDP.MKTP.PP.KD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hyperlink" Target="http://data.uis.unesco.org/" TargetMode="External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466324-07CE-4CF5-A395-5CA271821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674</Words>
  <Characters>3712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CS07a Porcentaje de hogares con hijos* en edad escolar normativa básica donde el jefe o cónyuge son analfabetos (2000 y 2005)</vt:lpstr>
    </vt:vector>
  </TitlesOfParts>
  <Company>INEE</Company>
  <LinksUpToDate>false</LinksUpToDate>
  <CharactersWithSpaces>4378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CS07a Porcentaje de hogares con hijos* en edad escolar normativa básica donde el jefe o cónyuge son analfabetos (2000 y 2005)</dc:title>
  <dc:creator>Luis Alberto Degante Mendez</dc:creator>
  <cp:lastModifiedBy>NAA</cp:lastModifiedBy>
  <cp:revision>20</cp:revision>
  <cp:lastPrinted>2016-05-20T21:24:00Z</cp:lastPrinted>
  <dcterms:created xsi:type="dcterms:W3CDTF">2019-02-28T20:00:00Z</dcterms:created>
  <dcterms:modified xsi:type="dcterms:W3CDTF">2019-05-13T23:32:00Z</dcterms:modified>
</cp:coreProperties>
</file>