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17166" w14:textId="77777777" w:rsidR="00E0098F" w:rsidRPr="002575C8" w:rsidRDefault="00396B3B" w:rsidP="00E0098F">
      <w:pPr>
        <w:jc w:val="center"/>
        <w:rPr>
          <w:rFonts w:ascii="Arial" w:hAnsi="Arial" w:cs="Arial"/>
          <w:b/>
          <w:sz w:val="28"/>
          <w:szCs w:val="28"/>
        </w:rPr>
      </w:pPr>
      <w:r w:rsidRPr="002575C8">
        <w:rPr>
          <w:rFonts w:ascii="Arial" w:hAnsi="Arial" w:cs="Arial"/>
          <w:b/>
          <w:noProof/>
          <w:sz w:val="28"/>
          <w:szCs w:val="28"/>
          <w:lang w:val="es-419" w:eastAsia="es-419"/>
        </w:rPr>
        <mc:AlternateContent>
          <mc:Choice Requires="wps">
            <w:drawing>
              <wp:anchor distT="0" distB="0" distL="114300" distR="114300" simplePos="0" relativeHeight="251657216" behindDoc="0" locked="0" layoutInCell="1" allowOverlap="1" wp14:anchorId="7B04631E" wp14:editId="735DC7BE">
                <wp:simplePos x="0" y="0"/>
                <wp:positionH relativeFrom="column">
                  <wp:posOffset>-44229</wp:posOffset>
                </wp:positionH>
                <wp:positionV relativeFrom="paragraph">
                  <wp:posOffset>69629</wp:posOffset>
                </wp:positionV>
                <wp:extent cx="685800" cy="277854"/>
                <wp:effectExtent l="0" t="0" r="19050" b="27305"/>
                <wp:wrapNone/>
                <wp:docPr id="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77854"/>
                        </a:xfrm>
                        <a:prstGeom prst="roundRect">
                          <a:avLst>
                            <a:gd name="adj" fmla="val 16667"/>
                          </a:avLst>
                        </a:prstGeom>
                        <a:solidFill>
                          <a:srgbClr val="FFFFFF"/>
                        </a:solidFill>
                        <a:ln w="9525">
                          <a:solidFill>
                            <a:srgbClr val="000000"/>
                          </a:solidFill>
                          <a:round/>
                          <a:headEnd/>
                          <a:tailEnd/>
                        </a:ln>
                      </wps:spPr>
                      <wps:txbx>
                        <w:txbxContent>
                          <w:p w14:paraId="577D21A4" w14:textId="77777777" w:rsidR="00E0098F" w:rsidRPr="00470ACB" w:rsidRDefault="009451A6" w:rsidP="00E0098F">
                            <w:pPr>
                              <w:rPr>
                                <w:rFonts w:ascii="Arial" w:hAnsi="Arial" w:cs="Arial"/>
                              </w:rPr>
                            </w:pPr>
                            <w:r>
                              <w:rPr>
                                <w:rFonts w:ascii="Arial" w:hAnsi="Arial" w:cs="Arial"/>
                              </w:rPr>
                              <w:t>RE02</w:t>
                            </w:r>
                            <w:r w:rsidR="00E0098F">
                              <w:rPr>
                                <w:rFonts w:ascii="Arial" w:hAnsi="Arial" w:cs="Arial"/>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4631E" id="AutoShape 23" o:spid="_x0000_s1026" style="position:absolute;left:0;text-align:left;margin-left:-3.5pt;margin-top:5.5pt;width:54pt;height: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">
                <v:textbox>
                  <w:txbxContent>
                    <w:p w14:paraId="577D21A4" w14:textId="77777777" w:rsidR="00E0098F" w:rsidRPr="00470ACB" w:rsidRDefault="009451A6" w:rsidP="00E0098F">
                      <w:pPr>
                        <w:rPr>
                          <w:rFonts w:ascii="Arial" w:hAnsi="Arial" w:cs="Arial"/>
                        </w:rPr>
                      </w:pPr>
                      <w:r>
                        <w:rPr>
                          <w:rFonts w:ascii="Arial" w:hAnsi="Arial" w:cs="Arial"/>
                        </w:rPr>
                        <w:t>RE02</w:t>
                      </w:r>
                      <w:r w:rsidR="00E0098F">
                        <w:rPr>
                          <w:rFonts w:ascii="Arial" w:hAnsi="Arial" w:cs="Arial"/>
                        </w:rPr>
                        <w:t>a</w:t>
                      </w:r>
                    </w:p>
                  </w:txbxContent>
                </v:textbox>
              </v:roundrect>
            </w:pict>
          </mc:Fallback>
        </mc:AlternateContent>
      </w:r>
    </w:p>
    <w:p w14:paraId="37280F4D" w14:textId="77777777" w:rsidR="00E0098F" w:rsidRPr="002575C8" w:rsidRDefault="00E0098F" w:rsidP="00E0098F">
      <w:pPr>
        <w:rPr>
          <w:rFonts w:ascii="Arial" w:hAnsi="Arial" w:cs="Arial"/>
        </w:rPr>
      </w:pPr>
    </w:p>
    <w:tbl>
      <w:tblPr>
        <w:tblW w:w="519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343"/>
      </w:tblGrid>
      <w:tr w:rsidR="002575C8" w:rsidRPr="002575C8" w14:paraId="6A73CADE" w14:textId="77777777" w:rsidTr="00F36639">
        <w:trPr>
          <w:trHeight w:val="83"/>
        </w:trPr>
        <w:tc>
          <w:tcPr>
            <w:tcW w:w="5000" w:type="pct"/>
            <w:tcBorders>
              <w:top w:val="single" w:sz="4" w:space="0" w:color="auto"/>
              <w:left w:val="single" w:sz="4" w:space="0" w:color="auto"/>
              <w:bottom w:val="single" w:sz="4" w:space="0" w:color="auto"/>
              <w:right w:val="single" w:sz="4" w:space="0" w:color="auto"/>
            </w:tcBorders>
            <w:tcMar>
              <w:top w:w="113" w:type="dxa"/>
              <w:left w:w="57" w:type="dxa"/>
              <w:bottom w:w="85" w:type="dxa"/>
              <w:right w:w="57" w:type="dxa"/>
            </w:tcMar>
            <w:vAlign w:val="center"/>
          </w:tcPr>
          <w:p w14:paraId="16DFCE1F" w14:textId="77777777" w:rsidR="00E0098F" w:rsidRPr="002575C8" w:rsidRDefault="00A4229D" w:rsidP="00E0098F">
            <w:pPr>
              <w:tabs>
                <w:tab w:val="left" w:pos="0"/>
              </w:tabs>
              <w:ind w:right="110"/>
              <w:rPr>
                <w:rFonts w:ascii="Arial" w:hAnsi="Arial" w:cs="Arial"/>
                <w:b/>
                <w:bCs/>
                <w:sz w:val="16"/>
                <w:szCs w:val="16"/>
              </w:rPr>
            </w:pPr>
            <w:r w:rsidRPr="002575C8">
              <w:rPr>
                <w:rFonts w:ascii="Arial" w:hAnsi="Arial" w:cs="Arial"/>
                <w:b/>
                <w:bCs/>
                <w:sz w:val="16"/>
                <w:szCs w:val="16"/>
              </w:rPr>
              <w:t>Nombre del indicador</w:t>
            </w:r>
          </w:p>
          <w:p w14:paraId="22F34A3D" w14:textId="08197552" w:rsidR="00E0098F" w:rsidRPr="002575C8" w:rsidRDefault="00E0098F" w:rsidP="00391568">
            <w:pPr>
              <w:rPr>
                <w:rFonts w:ascii="Arial" w:hAnsi="Arial" w:cs="Arial"/>
                <w:sz w:val="16"/>
                <w:szCs w:val="16"/>
              </w:rPr>
            </w:pPr>
            <w:r w:rsidRPr="002575C8">
              <w:rPr>
                <w:rFonts w:ascii="Arial" w:hAnsi="Arial" w:cs="Arial"/>
                <w:sz w:val="16"/>
                <w:szCs w:val="16"/>
              </w:rPr>
              <w:t>Tasa de ocupación</w:t>
            </w:r>
          </w:p>
        </w:tc>
      </w:tr>
      <w:tr w:rsidR="002575C8" w:rsidRPr="002575C8" w14:paraId="6F60427E" w14:textId="77777777" w:rsidTr="00F36639">
        <w:trPr>
          <w:trHeight w:val="28"/>
        </w:trPr>
        <w:tc>
          <w:tcPr>
            <w:tcW w:w="5000" w:type="pct"/>
            <w:tcBorders>
              <w:top w:val="single" w:sz="4" w:space="0" w:color="auto"/>
              <w:left w:val="single" w:sz="4" w:space="0" w:color="auto"/>
              <w:bottom w:val="single" w:sz="4" w:space="0" w:color="auto"/>
              <w:right w:val="single" w:sz="4" w:space="0" w:color="auto"/>
            </w:tcBorders>
            <w:tcMar>
              <w:top w:w="113" w:type="dxa"/>
              <w:left w:w="57" w:type="dxa"/>
              <w:bottom w:w="85" w:type="dxa"/>
              <w:right w:w="57" w:type="dxa"/>
            </w:tcMar>
            <w:vAlign w:val="center"/>
          </w:tcPr>
          <w:p w14:paraId="773A9624" w14:textId="77777777" w:rsidR="00E0098F" w:rsidRPr="006867AC" w:rsidRDefault="00A4229D" w:rsidP="00E0098F">
            <w:pPr>
              <w:rPr>
                <w:rFonts w:ascii="Arial" w:hAnsi="Arial" w:cs="Arial"/>
                <w:b/>
                <w:sz w:val="16"/>
                <w:szCs w:val="16"/>
              </w:rPr>
            </w:pPr>
            <w:r w:rsidRPr="006867AC">
              <w:rPr>
                <w:rFonts w:ascii="Arial" w:hAnsi="Arial" w:cs="Arial"/>
                <w:b/>
                <w:sz w:val="16"/>
                <w:szCs w:val="16"/>
              </w:rPr>
              <w:t>Definición</w:t>
            </w:r>
          </w:p>
          <w:p w14:paraId="1D9EC7B6" w14:textId="7B5764B0" w:rsidR="00E0098F" w:rsidRPr="006867AC" w:rsidRDefault="00E0098F" w:rsidP="009D66D5">
            <w:pPr>
              <w:rPr>
                <w:rFonts w:ascii="Arial" w:hAnsi="Arial" w:cs="Arial"/>
                <w:b/>
                <w:sz w:val="16"/>
                <w:szCs w:val="16"/>
              </w:rPr>
            </w:pPr>
            <w:r w:rsidRPr="006867AC">
              <w:rPr>
                <w:rFonts w:ascii="Arial" w:hAnsi="Arial" w:cs="Arial"/>
                <w:sz w:val="16"/>
                <w:szCs w:val="16"/>
              </w:rPr>
              <w:t xml:space="preserve">Porcentaje de </w:t>
            </w:r>
            <w:r w:rsidR="00300528" w:rsidRPr="006867AC">
              <w:rPr>
                <w:rFonts w:ascii="Arial" w:hAnsi="Arial" w:cs="Arial"/>
                <w:sz w:val="16"/>
                <w:szCs w:val="16"/>
              </w:rPr>
              <w:t>población ocupada</w:t>
            </w:r>
            <w:r w:rsidR="00300528" w:rsidRPr="006867AC">
              <w:rPr>
                <w:rFonts w:ascii="Arial" w:hAnsi="Arial" w:cs="Arial"/>
                <w:sz w:val="16"/>
                <w:szCs w:val="16"/>
                <w:vertAlign w:val="superscript"/>
              </w:rPr>
              <w:t>1</w:t>
            </w:r>
            <w:r w:rsidR="00300528" w:rsidRPr="006867AC">
              <w:rPr>
                <w:rFonts w:ascii="Arial" w:hAnsi="Arial" w:cs="Arial"/>
                <w:sz w:val="16"/>
                <w:szCs w:val="16"/>
              </w:rPr>
              <w:t xml:space="preserve"> en</w:t>
            </w:r>
            <w:r w:rsidR="00220747" w:rsidRPr="006867AC">
              <w:rPr>
                <w:rFonts w:ascii="Arial" w:hAnsi="Arial" w:cs="Arial"/>
                <w:sz w:val="16"/>
                <w:szCs w:val="16"/>
              </w:rPr>
              <w:t xml:space="preserve"> un grupo de edad (j</w:t>
            </w:r>
            <w:r w:rsidR="000346DB" w:rsidRPr="006867AC">
              <w:rPr>
                <w:rFonts w:ascii="Arial" w:hAnsi="Arial" w:cs="Arial"/>
                <w:sz w:val="16"/>
                <w:szCs w:val="16"/>
              </w:rPr>
              <w:t>óvenes</w:t>
            </w:r>
            <w:r w:rsidR="00220747" w:rsidRPr="006867AC">
              <w:rPr>
                <w:rFonts w:ascii="Arial" w:hAnsi="Arial" w:cs="Arial"/>
                <w:sz w:val="16"/>
                <w:szCs w:val="16"/>
              </w:rPr>
              <w:t xml:space="preserve"> de 15 a 29 años y adult</w:t>
            </w:r>
            <w:r w:rsidR="000346DB" w:rsidRPr="006867AC">
              <w:rPr>
                <w:rFonts w:ascii="Arial" w:hAnsi="Arial" w:cs="Arial"/>
                <w:sz w:val="16"/>
                <w:szCs w:val="16"/>
              </w:rPr>
              <w:t>os</w:t>
            </w:r>
            <w:r w:rsidR="00300528" w:rsidRPr="006867AC">
              <w:rPr>
                <w:rFonts w:ascii="Arial" w:hAnsi="Arial" w:cs="Arial"/>
                <w:sz w:val="16"/>
                <w:szCs w:val="16"/>
              </w:rPr>
              <w:t xml:space="preserve"> de </w:t>
            </w:r>
            <w:smartTag w:uri="urn:schemas-microsoft-com:office:smarttags" w:element="metricconverter">
              <w:smartTagPr>
                <w:attr w:name="ProductID" w:val="25 a"/>
              </w:smartTagPr>
              <w:r w:rsidR="00300528" w:rsidRPr="006867AC">
                <w:rPr>
                  <w:rFonts w:ascii="Arial" w:hAnsi="Arial" w:cs="Arial"/>
                  <w:sz w:val="16"/>
                  <w:szCs w:val="16"/>
                </w:rPr>
                <w:t>25 a</w:t>
              </w:r>
            </w:smartTag>
            <w:r w:rsidR="00300528" w:rsidRPr="006867AC">
              <w:rPr>
                <w:rFonts w:ascii="Arial" w:hAnsi="Arial" w:cs="Arial"/>
                <w:sz w:val="16"/>
                <w:szCs w:val="16"/>
              </w:rPr>
              <w:t xml:space="preserve"> 64 años) y nivel de escolaridad</w:t>
            </w:r>
            <w:r w:rsidRPr="006867AC">
              <w:rPr>
                <w:rFonts w:ascii="Arial" w:hAnsi="Arial" w:cs="Arial"/>
                <w:sz w:val="16"/>
                <w:szCs w:val="16"/>
              </w:rPr>
              <w:t xml:space="preserve"> </w:t>
            </w:r>
            <w:r w:rsidR="00300528" w:rsidRPr="006867AC">
              <w:rPr>
                <w:rFonts w:ascii="Arial" w:hAnsi="Arial" w:cs="Arial"/>
                <w:sz w:val="16"/>
                <w:szCs w:val="16"/>
              </w:rPr>
              <w:t>por cada cien personas en el mismo grupo de edad y nivel de escolaridad.</w:t>
            </w:r>
          </w:p>
        </w:tc>
      </w:tr>
      <w:tr w:rsidR="002575C8" w:rsidRPr="002575C8" w14:paraId="22C77ED3" w14:textId="77777777" w:rsidTr="00F36639">
        <w:trPr>
          <w:trHeight w:val="1530"/>
        </w:trPr>
        <w:tc>
          <w:tcPr>
            <w:tcW w:w="5000" w:type="pct"/>
            <w:vMerge w:val="restart"/>
            <w:tcBorders>
              <w:top w:val="single" w:sz="4" w:space="0" w:color="auto"/>
              <w:bottom w:val="single" w:sz="4" w:space="0" w:color="auto"/>
              <w:right w:val="single" w:sz="4" w:space="0" w:color="auto"/>
            </w:tcBorders>
            <w:shd w:val="clear" w:color="auto" w:fill="auto"/>
            <w:tcMar>
              <w:top w:w="113" w:type="dxa"/>
              <w:left w:w="57" w:type="dxa"/>
              <w:bottom w:w="85" w:type="dxa"/>
              <w:right w:w="57" w:type="dxa"/>
            </w:tcMar>
          </w:tcPr>
          <w:p w14:paraId="5AE3D083" w14:textId="62BEA6A7" w:rsidR="00E0098F" w:rsidRPr="006867AC" w:rsidRDefault="00E0098F" w:rsidP="00E0098F">
            <w:pPr>
              <w:rPr>
                <w:rFonts w:ascii="Arial" w:hAnsi="Arial" w:cs="Arial"/>
                <w:b/>
                <w:sz w:val="16"/>
                <w:szCs w:val="16"/>
              </w:rPr>
            </w:pPr>
            <w:r w:rsidRPr="006867AC">
              <w:rPr>
                <w:rFonts w:ascii="Arial" w:hAnsi="Arial" w:cs="Arial"/>
                <w:b/>
                <w:sz w:val="16"/>
                <w:szCs w:val="16"/>
              </w:rPr>
              <w:t>Fórmula de cálculo</w:t>
            </w:r>
          </w:p>
          <w:p w14:paraId="3FA8AC80" w14:textId="77777777" w:rsidR="00953B87" w:rsidRPr="006867AC" w:rsidRDefault="00953B87" w:rsidP="00E0098F">
            <w:pPr>
              <w:rPr>
                <w:rFonts w:ascii="Arial" w:hAnsi="Arial" w:cs="Arial"/>
                <w:sz w:val="16"/>
                <w:szCs w:val="16"/>
              </w:rPr>
            </w:pPr>
          </w:p>
          <w:p w14:paraId="13C44FB5" w14:textId="66C79F57" w:rsidR="00953B87" w:rsidRPr="006867AC" w:rsidRDefault="0012668C" w:rsidP="00E0098F">
            <w:pPr>
              <w:jc w:val="center"/>
              <w:rPr>
                <w:rFonts w:ascii="Arial" w:hAnsi="Arial" w:cs="Arial"/>
                <w:i/>
              </w:rPr>
            </w:pPr>
            <m:oMathPara>
              <m:oMath>
                <m:f>
                  <m:fPr>
                    <m:ctrlPr>
                      <w:rPr>
                        <w:rFonts w:ascii="Cambria Math" w:hAnsi="Cambria Math" w:cs="Arial"/>
                        <w:i/>
                      </w:rPr>
                    </m:ctrlPr>
                  </m:fPr>
                  <m:num>
                    <m:sSubSup>
                      <m:sSubSupPr>
                        <m:ctrlPr>
                          <w:rPr>
                            <w:rFonts w:ascii="Cambria Math" w:hAnsi="Cambria Math" w:cs="Arial"/>
                            <w:i/>
                            <w:lang w:val="es-ES" w:eastAsia="es-ES"/>
                          </w:rPr>
                        </m:ctrlPr>
                      </m:sSubSupPr>
                      <m:e>
                        <m:r>
                          <w:rPr>
                            <w:rFonts w:ascii="Cambria Math" w:hAnsi="Cambria Math" w:cs="Arial"/>
                          </w:rPr>
                          <m:t>PO</m:t>
                        </m:r>
                      </m:e>
                      <m:sub>
                        <m:r>
                          <w:rPr>
                            <w:rFonts w:ascii="Cambria Math" w:hAnsi="Cambria Math" w:cs="Arial"/>
                          </w:rPr>
                          <m:t>niv</m:t>
                        </m:r>
                      </m:sub>
                      <m:sup>
                        <m:r>
                          <w:rPr>
                            <w:rFonts w:ascii="Cambria Math" w:hAnsi="Cambria Math" w:cs="Arial"/>
                          </w:rPr>
                          <m:t>ge</m:t>
                        </m:r>
                      </m:sup>
                    </m:sSubSup>
                  </m:num>
                  <m:den>
                    <m:sSubSup>
                      <m:sSubSupPr>
                        <m:ctrlPr>
                          <w:rPr>
                            <w:rFonts w:ascii="Cambria Math" w:hAnsi="Cambria Math" w:cs="Arial"/>
                            <w:i/>
                            <w:lang w:val="es-ES" w:eastAsia="es-ES"/>
                          </w:rPr>
                        </m:ctrlPr>
                      </m:sSubSupPr>
                      <m:e>
                        <m:r>
                          <w:rPr>
                            <w:rFonts w:ascii="Cambria Math" w:hAnsi="Cambria Math" w:cs="Arial"/>
                          </w:rPr>
                          <m:t>P</m:t>
                        </m:r>
                      </m:e>
                      <m:sub>
                        <m:r>
                          <w:rPr>
                            <w:rFonts w:ascii="Cambria Math" w:hAnsi="Cambria Math" w:cs="Arial"/>
                          </w:rPr>
                          <m:t>niv</m:t>
                        </m:r>
                      </m:sub>
                      <m:sup>
                        <m:r>
                          <w:rPr>
                            <w:rFonts w:ascii="Cambria Math" w:hAnsi="Cambria Math" w:cs="Arial"/>
                          </w:rPr>
                          <m:t>ge</m:t>
                        </m:r>
                      </m:sup>
                    </m:sSubSup>
                  </m:den>
                </m:f>
                <m:r>
                  <w:rPr>
                    <w:rFonts w:ascii="Cambria Math" w:hAnsi="Cambria Math" w:cs="Arial"/>
                  </w:rPr>
                  <m:t xml:space="preserve"> × 100</m:t>
                </m:r>
              </m:oMath>
            </m:oMathPara>
          </w:p>
          <w:tbl>
            <w:tblPr>
              <w:tblW w:w="0" w:type="auto"/>
              <w:tblLook w:val="01E0" w:firstRow="1" w:lastRow="1" w:firstColumn="1" w:lastColumn="1" w:noHBand="0" w:noVBand="0"/>
            </w:tblPr>
            <w:tblGrid>
              <w:gridCol w:w="1052"/>
              <w:gridCol w:w="6719"/>
            </w:tblGrid>
            <w:tr w:rsidR="002575C8" w:rsidRPr="006867AC" w14:paraId="4D9314AC" w14:textId="77777777" w:rsidTr="00012383">
              <w:trPr>
                <w:trHeight w:val="60"/>
              </w:trPr>
              <w:tc>
                <w:tcPr>
                  <w:tcW w:w="1052" w:type="dxa"/>
                  <w:tcMar>
                    <w:top w:w="28" w:type="dxa"/>
                    <w:left w:w="0" w:type="dxa"/>
                    <w:bottom w:w="28" w:type="dxa"/>
                    <w:right w:w="85" w:type="dxa"/>
                  </w:tcMar>
                </w:tcPr>
                <w:p w14:paraId="44EE93ED" w14:textId="77777777" w:rsidR="00953B87" w:rsidRPr="006867AC" w:rsidRDefault="00953B87" w:rsidP="00E0098F">
                  <w:pPr>
                    <w:jc w:val="center"/>
                    <w:rPr>
                      <w:rFonts w:ascii="Arial" w:hAnsi="Arial" w:cs="Arial"/>
                      <w:i/>
                      <w:sz w:val="16"/>
                      <w:szCs w:val="16"/>
                    </w:rPr>
                  </w:pPr>
                </w:p>
                <w:p w14:paraId="7A76B948" w14:textId="77777777" w:rsidR="00E0098F" w:rsidRPr="006867AC" w:rsidRDefault="00E0098F" w:rsidP="00E0098F">
                  <w:pPr>
                    <w:jc w:val="center"/>
                    <w:rPr>
                      <w:rFonts w:ascii="Arial" w:hAnsi="Arial" w:cs="Arial"/>
                      <w:i/>
                      <w:sz w:val="16"/>
                      <w:szCs w:val="16"/>
                    </w:rPr>
                  </w:pPr>
                  <w:r w:rsidRPr="006867AC">
                    <w:rPr>
                      <w:rFonts w:ascii="Arial" w:hAnsi="Arial" w:cs="Arial"/>
                      <w:i/>
                      <w:sz w:val="16"/>
                      <w:szCs w:val="16"/>
                    </w:rPr>
                    <w:t>ge</w:t>
                  </w:r>
                </w:p>
              </w:tc>
              <w:tc>
                <w:tcPr>
                  <w:tcW w:w="6719" w:type="dxa"/>
                  <w:tcMar>
                    <w:top w:w="28" w:type="dxa"/>
                    <w:left w:w="0" w:type="dxa"/>
                    <w:bottom w:w="28" w:type="dxa"/>
                  </w:tcMar>
                  <w:vAlign w:val="center"/>
                </w:tcPr>
                <w:p w14:paraId="37AEF252" w14:textId="77777777" w:rsidR="00E0098F" w:rsidRPr="006867AC" w:rsidRDefault="00E7154A" w:rsidP="00E0098F">
                  <w:pPr>
                    <w:rPr>
                      <w:rFonts w:ascii="Arial" w:hAnsi="Arial" w:cs="Arial"/>
                      <w:sz w:val="16"/>
                      <w:szCs w:val="16"/>
                    </w:rPr>
                  </w:pPr>
                  <w:r w:rsidRPr="006867AC">
                    <w:rPr>
                      <w:rFonts w:ascii="Arial" w:hAnsi="Arial" w:cs="Arial"/>
                      <w:sz w:val="16"/>
                      <w:szCs w:val="16"/>
                    </w:rPr>
                    <w:t xml:space="preserve">Grupo de edad: </w:t>
                  </w:r>
                  <w:r w:rsidR="00DD63D9" w:rsidRPr="006867AC">
                    <w:rPr>
                      <w:rFonts w:ascii="Arial" w:hAnsi="Arial" w:cs="Arial"/>
                      <w:sz w:val="16"/>
                      <w:szCs w:val="16"/>
                    </w:rPr>
                    <w:t>jóvenes de 15 a 29 años y adultos</w:t>
                  </w:r>
                  <w:r w:rsidR="0036564C" w:rsidRPr="006867AC">
                    <w:rPr>
                      <w:rFonts w:ascii="Arial" w:hAnsi="Arial" w:cs="Arial"/>
                      <w:sz w:val="16"/>
                      <w:szCs w:val="16"/>
                    </w:rPr>
                    <w:t xml:space="preserve"> de </w:t>
                  </w:r>
                  <w:smartTag w:uri="urn:schemas-microsoft-com:office:smarttags" w:element="metricconverter">
                    <w:smartTagPr>
                      <w:attr w:name="ProductID" w:val="25 a"/>
                    </w:smartTagPr>
                    <w:r w:rsidR="0036564C" w:rsidRPr="006867AC">
                      <w:rPr>
                        <w:rFonts w:ascii="Arial" w:hAnsi="Arial" w:cs="Arial"/>
                        <w:sz w:val="16"/>
                        <w:szCs w:val="16"/>
                      </w:rPr>
                      <w:t>25 a</w:t>
                    </w:r>
                  </w:smartTag>
                  <w:r w:rsidR="0036564C" w:rsidRPr="006867AC">
                    <w:rPr>
                      <w:rFonts w:ascii="Arial" w:hAnsi="Arial" w:cs="Arial"/>
                      <w:sz w:val="16"/>
                      <w:szCs w:val="16"/>
                    </w:rPr>
                    <w:t xml:space="preserve"> 64 años.</w:t>
                  </w:r>
                </w:p>
              </w:tc>
            </w:tr>
            <w:tr w:rsidR="002575C8" w:rsidRPr="006867AC" w14:paraId="2B8D4AD4" w14:textId="77777777" w:rsidTr="00012383">
              <w:tc>
                <w:tcPr>
                  <w:tcW w:w="1052" w:type="dxa"/>
                  <w:tcMar>
                    <w:top w:w="28" w:type="dxa"/>
                    <w:left w:w="0" w:type="dxa"/>
                    <w:bottom w:w="28" w:type="dxa"/>
                    <w:right w:w="85" w:type="dxa"/>
                  </w:tcMar>
                </w:tcPr>
                <w:p w14:paraId="1E8CDF01" w14:textId="77777777" w:rsidR="00E0098F" w:rsidRPr="006867AC" w:rsidRDefault="00E0098F" w:rsidP="00E0098F">
                  <w:pPr>
                    <w:jc w:val="center"/>
                    <w:rPr>
                      <w:rFonts w:ascii="Arial" w:hAnsi="Arial" w:cs="Arial"/>
                      <w:i/>
                      <w:sz w:val="16"/>
                      <w:szCs w:val="16"/>
                    </w:rPr>
                  </w:pPr>
                  <w:proofErr w:type="spellStart"/>
                  <w:r w:rsidRPr="006867AC">
                    <w:rPr>
                      <w:rFonts w:ascii="Arial" w:hAnsi="Arial" w:cs="Arial"/>
                      <w:i/>
                      <w:sz w:val="16"/>
                      <w:szCs w:val="16"/>
                    </w:rPr>
                    <w:t>niv</w:t>
                  </w:r>
                  <w:proofErr w:type="spellEnd"/>
                </w:p>
              </w:tc>
              <w:tc>
                <w:tcPr>
                  <w:tcW w:w="6719" w:type="dxa"/>
                  <w:tcMar>
                    <w:top w:w="28" w:type="dxa"/>
                    <w:left w:w="0" w:type="dxa"/>
                    <w:bottom w:w="28" w:type="dxa"/>
                  </w:tcMar>
                  <w:vAlign w:val="center"/>
                </w:tcPr>
                <w:p w14:paraId="3A6ABACE" w14:textId="2202CB0D" w:rsidR="00E0098F" w:rsidRPr="006867AC" w:rsidRDefault="00E0098F" w:rsidP="00E7154A">
                  <w:pPr>
                    <w:rPr>
                      <w:rFonts w:ascii="Arial" w:hAnsi="Arial" w:cs="Arial"/>
                      <w:sz w:val="16"/>
                      <w:szCs w:val="16"/>
                    </w:rPr>
                  </w:pPr>
                  <w:r w:rsidRPr="006867AC">
                    <w:rPr>
                      <w:rFonts w:ascii="Arial" w:hAnsi="Arial" w:cs="Arial"/>
                      <w:sz w:val="16"/>
                      <w:szCs w:val="16"/>
                    </w:rPr>
                    <w:t>Nivel de escolaridad alcanzado</w:t>
                  </w:r>
                  <w:r w:rsidR="001E1AAC" w:rsidRPr="006867AC">
                    <w:rPr>
                      <w:rFonts w:ascii="Arial" w:hAnsi="Arial" w:cs="Arial"/>
                      <w:sz w:val="16"/>
                      <w:szCs w:val="16"/>
                    </w:rPr>
                    <w:t>:</w:t>
                  </w:r>
                  <w:r w:rsidRPr="006867AC">
                    <w:rPr>
                      <w:rFonts w:ascii="Arial" w:hAnsi="Arial" w:cs="Arial"/>
                      <w:sz w:val="16"/>
                      <w:szCs w:val="16"/>
                      <w:vertAlign w:val="superscript"/>
                    </w:rPr>
                    <w:t>2</w:t>
                  </w:r>
                  <w:r w:rsidR="00E7154A" w:rsidRPr="006867AC">
                    <w:rPr>
                      <w:rFonts w:ascii="Arial" w:hAnsi="Arial" w:cs="Arial"/>
                      <w:sz w:val="16"/>
                      <w:szCs w:val="16"/>
                    </w:rPr>
                    <w:t xml:space="preserve"> </w:t>
                  </w:r>
                  <w:r w:rsidRPr="006867AC">
                    <w:rPr>
                      <w:rFonts w:ascii="Arial" w:hAnsi="Arial" w:cs="Arial"/>
                      <w:sz w:val="16"/>
                      <w:szCs w:val="16"/>
                    </w:rPr>
                    <w:t>sin básica, básica, media superior y superior.</w:t>
                  </w:r>
                </w:p>
              </w:tc>
            </w:tr>
            <w:tr w:rsidR="002575C8" w:rsidRPr="006867AC" w14:paraId="41767963" w14:textId="77777777" w:rsidTr="00012383">
              <w:trPr>
                <w:trHeight w:val="261"/>
              </w:trPr>
              <w:tc>
                <w:tcPr>
                  <w:tcW w:w="1052" w:type="dxa"/>
                  <w:tcMar>
                    <w:left w:w="28" w:type="dxa"/>
                    <w:right w:w="28" w:type="dxa"/>
                  </w:tcMar>
                </w:tcPr>
                <w:p w14:paraId="667C6042" w14:textId="77777777" w:rsidR="00E0098F" w:rsidRPr="006867AC" w:rsidRDefault="00E0098F" w:rsidP="00E0098F">
                  <w:pPr>
                    <w:jc w:val="center"/>
                    <w:rPr>
                      <w:rFonts w:ascii="Arial" w:hAnsi="Arial" w:cs="Arial"/>
                      <w:sz w:val="16"/>
                      <w:szCs w:val="16"/>
                    </w:rPr>
                  </w:pPr>
                  <w:r w:rsidRPr="006867AC">
                    <w:rPr>
                      <w:rFonts w:ascii="Arial" w:hAnsi="Arial" w:cs="Arial"/>
                      <w:position w:val="-10"/>
                      <w:sz w:val="16"/>
                      <w:szCs w:val="16"/>
                    </w:rPr>
                    <w:object w:dxaOrig="560" w:dyaOrig="340" w14:anchorId="223CC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75pt" o:ole="" fillcolor="window">
                        <v:imagedata r:id="rId6" o:title=""/>
                      </v:shape>
                      <o:OLEObject Type="Embed" ProgID="Equation.3" ShapeID="_x0000_i1025" DrawAspect="Content" ObjectID="_1618938594" r:id="rId7"/>
                    </w:object>
                  </w:r>
                </w:p>
              </w:tc>
              <w:tc>
                <w:tcPr>
                  <w:tcW w:w="6719" w:type="dxa"/>
                  <w:tcMar>
                    <w:top w:w="28" w:type="dxa"/>
                    <w:left w:w="28" w:type="dxa"/>
                    <w:bottom w:w="28" w:type="dxa"/>
                    <w:right w:w="28" w:type="dxa"/>
                  </w:tcMar>
                  <w:vAlign w:val="center"/>
                </w:tcPr>
                <w:p w14:paraId="4C85BB7D" w14:textId="77777777" w:rsidR="00E0098F" w:rsidRPr="006867AC" w:rsidRDefault="00E0098F" w:rsidP="00E0098F">
                  <w:pPr>
                    <w:rPr>
                      <w:rFonts w:ascii="Arial" w:hAnsi="Arial" w:cs="Arial"/>
                      <w:sz w:val="16"/>
                      <w:szCs w:val="16"/>
                    </w:rPr>
                  </w:pPr>
                  <w:r w:rsidRPr="006867AC">
                    <w:rPr>
                      <w:rFonts w:ascii="Arial" w:hAnsi="Arial" w:cs="Arial"/>
                      <w:sz w:val="16"/>
                      <w:szCs w:val="16"/>
                    </w:rPr>
                    <w:t xml:space="preserve">Población ocupada en el grupo de edad </w:t>
                  </w:r>
                  <w:r w:rsidRPr="006867AC">
                    <w:rPr>
                      <w:rFonts w:ascii="Arial" w:hAnsi="Arial" w:cs="Arial"/>
                      <w:i/>
                      <w:sz w:val="16"/>
                      <w:szCs w:val="16"/>
                    </w:rPr>
                    <w:t>ge</w:t>
                  </w:r>
                  <w:r w:rsidRPr="006867AC">
                    <w:rPr>
                      <w:rFonts w:ascii="Arial" w:hAnsi="Arial" w:cs="Arial"/>
                      <w:sz w:val="16"/>
                      <w:szCs w:val="16"/>
                    </w:rPr>
                    <w:t xml:space="preserve"> y nivel </w:t>
                  </w:r>
                  <w:r w:rsidRPr="006867AC">
                    <w:rPr>
                      <w:rFonts w:ascii="Tahoma" w:hAnsi="Tahoma" w:cs="Tahoma"/>
                      <w:sz w:val="16"/>
                      <w:szCs w:val="16"/>
                    </w:rPr>
                    <w:t>de escolaridad</w:t>
                  </w:r>
                  <w:r w:rsidRPr="006867AC">
                    <w:rPr>
                      <w:rFonts w:ascii="Arial" w:hAnsi="Arial" w:cs="Arial"/>
                      <w:i/>
                      <w:sz w:val="16"/>
                      <w:szCs w:val="16"/>
                    </w:rPr>
                    <w:t xml:space="preserve"> </w:t>
                  </w:r>
                  <w:proofErr w:type="spellStart"/>
                  <w:r w:rsidRPr="006867AC">
                    <w:rPr>
                      <w:rFonts w:ascii="Arial" w:hAnsi="Arial" w:cs="Arial"/>
                      <w:i/>
                      <w:sz w:val="16"/>
                      <w:szCs w:val="16"/>
                    </w:rPr>
                    <w:t>niv</w:t>
                  </w:r>
                  <w:proofErr w:type="spellEnd"/>
                  <w:r w:rsidRPr="006867AC">
                    <w:rPr>
                      <w:rFonts w:ascii="Arial" w:hAnsi="Arial" w:cs="Arial"/>
                      <w:sz w:val="16"/>
                      <w:szCs w:val="16"/>
                    </w:rPr>
                    <w:t>.</w:t>
                  </w:r>
                </w:p>
              </w:tc>
            </w:tr>
            <w:tr w:rsidR="002575C8" w:rsidRPr="006867AC" w14:paraId="57566373" w14:textId="77777777" w:rsidTr="00012383">
              <w:trPr>
                <w:trHeight w:val="105"/>
              </w:trPr>
              <w:tc>
                <w:tcPr>
                  <w:tcW w:w="1052" w:type="dxa"/>
                  <w:tcMar>
                    <w:left w:w="28" w:type="dxa"/>
                    <w:right w:w="28" w:type="dxa"/>
                  </w:tcMar>
                </w:tcPr>
                <w:p w14:paraId="791B8FAC" w14:textId="77777777" w:rsidR="00E0098F" w:rsidRPr="006867AC" w:rsidRDefault="00E0098F" w:rsidP="00E0098F">
                  <w:pPr>
                    <w:jc w:val="center"/>
                    <w:rPr>
                      <w:rFonts w:ascii="Arial" w:hAnsi="Arial" w:cs="Arial"/>
                      <w:sz w:val="16"/>
                      <w:szCs w:val="16"/>
                    </w:rPr>
                  </w:pPr>
                  <w:r w:rsidRPr="006867AC">
                    <w:rPr>
                      <w:rFonts w:ascii="Arial" w:hAnsi="Arial" w:cs="Arial"/>
                      <w:position w:val="-10"/>
                      <w:sz w:val="16"/>
                      <w:szCs w:val="16"/>
                    </w:rPr>
                    <w:object w:dxaOrig="380" w:dyaOrig="340" w14:anchorId="100D27E7">
                      <v:shape id="_x0000_i1026" type="#_x0000_t75" style="width:18pt;height:18.75pt" o:ole="" fillcolor="window">
                        <v:imagedata r:id="rId8" o:title=""/>
                      </v:shape>
                      <o:OLEObject Type="Embed" ProgID="Equation.3" ShapeID="_x0000_i1026" DrawAspect="Content" ObjectID="_1618938595" r:id="rId9"/>
                    </w:object>
                  </w:r>
                </w:p>
              </w:tc>
              <w:tc>
                <w:tcPr>
                  <w:tcW w:w="6719" w:type="dxa"/>
                  <w:tcMar>
                    <w:top w:w="28" w:type="dxa"/>
                    <w:left w:w="28" w:type="dxa"/>
                    <w:bottom w:w="28" w:type="dxa"/>
                    <w:right w:w="28" w:type="dxa"/>
                  </w:tcMar>
                  <w:vAlign w:val="center"/>
                </w:tcPr>
                <w:p w14:paraId="3163A8FB" w14:textId="77777777" w:rsidR="00E0098F" w:rsidRPr="006867AC" w:rsidRDefault="00E0098F" w:rsidP="00E0098F">
                  <w:pPr>
                    <w:rPr>
                      <w:rFonts w:ascii="Arial" w:hAnsi="Arial" w:cs="Arial"/>
                      <w:sz w:val="16"/>
                      <w:szCs w:val="16"/>
                    </w:rPr>
                  </w:pPr>
                  <w:r w:rsidRPr="006867AC">
                    <w:rPr>
                      <w:rFonts w:ascii="Arial" w:hAnsi="Arial" w:cs="Arial"/>
                      <w:sz w:val="16"/>
                      <w:szCs w:val="16"/>
                    </w:rPr>
                    <w:t xml:space="preserve">Población total en el grupo de edad </w:t>
                  </w:r>
                  <w:r w:rsidRPr="006867AC">
                    <w:rPr>
                      <w:rFonts w:ascii="Arial" w:hAnsi="Arial" w:cs="Arial"/>
                      <w:i/>
                      <w:sz w:val="16"/>
                      <w:szCs w:val="16"/>
                    </w:rPr>
                    <w:t>ge</w:t>
                  </w:r>
                  <w:r w:rsidRPr="006867AC">
                    <w:rPr>
                      <w:rFonts w:ascii="Arial" w:hAnsi="Arial" w:cs="Arial"/>
                      <w:sz w:val="16"/>
                      <w:szCs w:val="16"/>
                    </w:rPr>
                    <w:t xml:space="preserve"> y nivel </w:t>
                  </w:r>
                  <w:r w:rsidRPr="006867AC">
                    <w:rPr>
                      <w:rFonts w:ascii="Tahoma" w:hAnsi="Tahoma" w:cs="Tahoma"/>
                      <w:sz w:val="16"/>
                      <w:szCs w:val="16"/>
                    </w:rPr>
                    <w:t>de escolaridad</w:t>
                  </w:r>
                  <w:r w:rsidRPr="006867AC">
                    <w:rPr>
                      <w:rFonts w:ascii="Arial" w:hAnsi="Arial" w:cs="Arial"/>
                      <w:i/>
                      <w:sz w:val="16"/>
                      <w:szCs w:val="16"/>
                    </w:rPr>
                    <w:t xml:space="preserve"> </w:t>
                  </w:r>
                  <w:proofErr w:type="spellStart"/>
                  <w:r w:rsidRPr="006867AC">
                    <w:rPr>
                      <w:rFonts w:ascii="Arial" w:hAnsi="Arial" w:cs="Arial"/>
                      <w:i/>
                      <w:sz w:val="16"/>
                      <w:szCs w:val="16"/>
                    </w:rPr>
                    <w:t>niv</w:t>
                  </w:r>
                  <w:proofErr w:type="spellEnd"/>
                  <w:r w:rsidRPr="006867AC">
                    <w:rPr>
                      <w:rFonts w:ascii="Arial" w:hAnsi="Arial" w:cs="Arial"/>
                      <w:sz w:val="16"/>
                      <w:szCs w:val="16"/>
                    </w:rPr>
                    <w:t>.</w:t>
                  </w:r>
                </w:p>
              </w:tc>
            </w:tr>
          </w:tbl>
          <w:p w14:paraId="28320A72" w14:textId="77777777" w:rsidR="00E0098F" w:rsidRPr="006867AC" w:rsidRDefault="00E0098F" w:rsidP="00E0098F">
            <w:pPr>
              <w:rPr>
                <w:rFonts w:ascii="Arial" w:hAnsi="Arial" w:cs="Arial"/>
                <w:b/>
                <w:sz w:val="16"/>
                <w:szCs w:val="16"/>
              </w:rPr>
            </w:pPr>
          </w:p>
        </w:tc>
      </w:tr>
      <w:tr w:rsidR="002575C8" w:rsidRPr="002575C8" w14:paraId="2797D4CF" w14:textId="77777777" w:rsidTr="00F36639">
        <w:trPr>
          <w:trHeight w:val="563"/>
        </w:trPr>
        <w:tc>
          <w:tcPr>
            <w:tcW w:w="5000" w:type="pct"/>
            <w:vMerge/>
            <w:tcBorders>
              <w:top w:val="single" w:sz="4" w:space="0" w:color="auto"/>
              <w:bottom w:val="single" w:sz="4" w:space="0" w:color="auto"/>
              <w:right w:val="single" w:sz="4" w:space="0" w:color="auto"/>
            </w:tcBorders>
            <w:shd w:val="clear" w:color="auto" w:fill="auto"/>
            <w:tcMar>
              <w:top w:w="113" w:type="dxa"/>
              <w:left w:w="57" w:type="dxa"/>
              <w:bottom w:w="85" w:type="dxa"/>
              <w:right w:w="57" w:type="dxa"/>
            </w:tcMar>
          </w:tcPr>
          <w:p w14:paraId="5A591C19" w14:textId="77777777" w:rsidR="00E0098F" w:rsidRPr="006867AC" w:rsidRDefault="00E0098F" w:rsidP="00E0098F">
            <w:pPr>
              <w:ind w:right="-70"/>
              <w:rPr>
                <w:rFonts w:ascii="Arial" w:hAnsi="Arial" w:cs="Arial"/>
                <w:sz w:val="16"/>
                <w:szCs w:val="16"/>
              </w:rPr>
            </w:pPr>
          </w:p>
        </w:tc>
      </w:tr>
      <w:tr w:rsidR="002575C8" w:rsidRPr="002575C8" w14:paraId="47B2DF32" w14:textId="77777777" w:rsidTr="00F36639">
        <w:trPr>
          <w:trHeight w:val="629"/>
        </w:trPr>
        <w:tc>
          <w:tcPr>
            <w:tcW w:w="5000" w:type="pct"/>
            <w:tcBorders>
              <w:top w:val="single" w:sz="4" w:space="0" w:color="auto"/>
              <w:left w:val="single" w:sz="4" w:space="0" w:color="auto"/>
              <w:bottom w:val="single" w:sz="4" w:space="0" w:color="auto"/>
              <w:right w:val="single" w:sz="4" w:space="0" w:color="auto"/>
            </w:tcBorders>
            <w:shd w:val="clear" w:color="auto" w:fill="auto"/>
            <w:tcMar>
              <w:top w:w="113" w:type="dxa"/>
              <w:left w:w="57" w:type="dxa"/>
              <w:bottom w:w="85" w:type="dxa"/>
              <w:right w:w="57" w:type="dxa"/>
            </w:tcMar>
            <w:vAlign w:val="center"/>
          </w:tcPr>
          <w:p w14:paraId="06CBC7FE" w14:textId="77777777" w:rsidR="00E0098F" w:rsidRPr="006867AC" w:rsidRDefault="00A4229D" w:rsidP="00E0098F">
            <w:pPr>
              <w:jc w:val="both"/>
              <w:rPr>
                <w:rFonts w:ascii="Arial" w:hAnsi="Arial" w:cs="Arial"/>
                <w:b/>
                <w:sz w:val="16"/>
                <w:szCs w:val="16"/>
              </w:rPr>
            </w:pPr>
            <w:r w:rsidRPr="006867AC">
              <w:rPr>
                <w:rFonts w:ascii="Arial" w:hAnsi="Arial" w:cs="Arial"/>
                <w:b/>
                <w:sz w:val="16"/>
                <w:szCs w:val="16"/>
              </w:rPr>
              <w:t>Interpretación</w:t>
            </w:r>
          </w:p>
          <w:p w14:paraId="52C416FE" w14:textId="07342E4B" w:rsidR="00E0098F" w:rsidRPr="006867AC" w:rsidRDefault="00981932" w:rsidP="00A72441">
            <w:pPr>
              <w:jc w:val="both"/>
              <w:rPr>
                <w:rFonts w:ascii="Arial" w:hAnsi="Arial" w:cs="Arial"/>
                <w:sz w:val="16"/>
                <w:szCs w:val="16"/>
              </w:rPr>
            </w:pPr>
            <w:bookmarkStart w:id="0" w:name="_Hlk6408700"/>
            <w:r w:rsidRPr="006867AC">
              <w:rPr>
                <w:rFonts w:ascii="Arial" w:hAnsi="Arial" w:cs="Arial"/>
                <w:sz w:val="16"/>
                <w:szCs w:val="16"/>
              </w:rPr>
              <w:t>Este indicador capta la asociación entre la escolaridad y la posibilidad de encontrarse empleado cuando se pertenece a determinada cohorte de edad</w:t>
            </w:r>
            <w:r w:rsidR="005F73AD" w:rsidRPr="006867AC">
              <w:rPr>
                <w:rFonts w:ascii="Arial" w:hAnsi="Arial" w:cs="Arial"/>
                <w:sz w:val="16"/>
                <w:szCs w:val="16"/>
              </w:rPr>
              <w:t>. S</w:t>
            </w:r>
            <w:r w:rsidRPr="006867AC">
              <w:rPr>
                <w:rFonts w:ascii="Arial" w:hAnsi="Arial" w:cs="Arial"/>
                <w:sz w:val="16"/>
                <w:szCs w:val="16"/>
              </w:rPr>
              <w:t xml:space="preserve">i los porcentajes </w:t>
            </w:r>
            <w:r w:rsidR="005F73AD" w:rsidRPr="006867AC">
              <w:rPr>
                <w:rFonts w:ascii="Arial" w:hAnsi="Arial" w:cs="Arial"/>
                <w:sz w:val="16"/>
                <w:szCs w:val="16"/>
              </w:rPr>
              <w:t xml:space="preserve">de población adulta ocupada con niveles altos de escolaridad </w:t>
            </w:r>
            <w:r w:rsidRPr="006867AC">
              <w:rPr>
                <w:rFonts w:ascii="Arial" w:hAnsi="Arial" w:cs="Arial"/>
                <w:sz w:val="16"/>
                <w:szCs w:val="16"/>
              </w:rPr>
              <w:t xml:space="preserve">aumentan, </w:t>
            </w:r>
            <w:r w:rsidR="002C71B6" w:rsidRPr="006867AC">
              <w:rPr>
                <w:rFonts w:ascii="Arial" w:hAnsi="Arial" w:cs="Arial"/>
                <w:sz w:val="16"/>
                <w:szCs w:val="16"/>
              </w:rPr>
              <w:t xml:space="preserve">se </w:t>
            </w:r>
            <w:r w:rsidRPr="006867AC">
              <w:rPr>
                <w:rFonts w:ascii="Arial" w:hAnsi="Arial" w:cs="Arial"/>
                <w:sz w:val="16"/>
                <w:szCs w:val="16"/>
              </w:rPr>
              <w:t>indicaría la existencia de una relación positiva entre la actuación del sistema educativo (en combinación con el sistema laboral) y las posibilidades de tener empleo. Para la población joven la interpretación es distinta</w:t>
            </w:r>
            <w:r w:rsidR="0051633C" w:rsidRPr="006867AC">
              <w:rPr>
                <w:rFonts w:ascii="Arial" w:hAnsi="Arial" w:cs="Arial"/>
                <w:sz w:val="16"/>
                <w:szCs w:val="16"/>
              </w:rPr>
              <w:t>: s</w:t>
            </w:r>
            <w:r w:rsidRPr="006867AC">
              <w:rPr>
                <w:rFonts w:ascii="Arial" w:hAnsi="Arial" w:cs="Arial"/>
                <w:sz w:val="16"/>
                <w:szCs w:val="16"/>
              </w:rPr>
              <w:t xml:space="preserve">i las tasas de ocupación son marcadamente mayores para quienes no tienen la educación básica, </w:t>
            </w:r>
            <w:r w:rsidR="002C71B6" w:rsidRPr="006867AC">
              <w:rPr>
                <w:rFonts w:ascii="Arial" w:hAnsi="Arial" w:cs="Arial"/>
                <w:sz w:val="16"/>
                <w:szCs w:val="16"/>
              </w:rPr>
              <w:t xml:space="preserve">se </w:t>
            </w:r>
            <w:r w:rsidRPr="006867AC">
              <w:rPr>
                <w:rFonts w:ascii="Arial" w:hAnsi="Arial" w:cs="Arial"/>
                <w:sz w:val="16"/>
                <w:szCs w:val="16"/>
              </w:rPr>
              <w:t>indicaría la existencia de una particular dificultad de los jóvenes trabajadores para ejercer plenamente su derecho a la escolarización básica, l</w:t>
            </w:r>
            <w:r w:rsidR="00BD0017" w:rsidRPr="006867AC">
              <w:rPr>
                <w:rFonts w:ascii="Arial" w:hAnsi="Arial" w:cs="Arial"/>
                <w:sz w:val="16"/>
                <w:szCs w:val="16"/>
              </w:rPr>
              <w:t xml:space="preserve">o cual </w:t>
            </w:r>
            <w:r w:rsidR="00A72441" w:rsidRPr="006867AC">
              <w:rPr>
                <w:rFonts w:ascii="Arial" w:hAnsi="Arial" w:cs="Arial"/>
                <w:sz w:val="16"/>
                <w:szCs w:val="16"/>
              </w:rPr>
              <w:t xml:space="preserve">con </w:t>
            </w:r>
            <w:r w:rsidR="00BD0017" w:rsidRPr="006867AC">
              <w:rPr>
                <w:rFonts w:ascii="Arial" w:hAnsi="Arial" w:cs="Arial"/>
                <w:sz w:val="16"/>
                <w:szCs w:val="16"/>
              </w:rPr>
              <w:t>frecuen</w:t>
            </w:r>
            <w:r w:rsidR="00A72441" w:rsidRPr="006867AC">
              <w:rPr>
                <w:rFonts w:ascii="Arial" w:hAnsi="Arial" w:cs="Arial"/>
                <w:sz w:val="16"/>
                <w:szCs w:val="16"/>
              </w:rPr>
              <w:t xml:space="preserve">cia </w:t>
            </w:r>
            <w:r w:rsidR="00BD0017" w:rsidRPr="006867AC">
              <w:rPr>
                <w:rFonts w:ascii="Arial" w:hAnsi="Arial" w:cs="Arial"/>
                <w:sz w:val="16"/>
                <w:szCs w:val="16"/>
              </w:rPr>
              <w:t>los impul</w:t>
            </w:r>
            <w:r w:rsidRPr="006867AC">
              <w:rPr>
                <w:rFonts w:ascii="Arial" w:hAnsi="Arial" w:cs="Arial"/>
                <w:sz w:val="16"/>
                <w:szCs w:val="16"/>
              </w:rPr>
              <w:t>sa a participar en los mercados de trabajo más precarios.</w:t>
            </w:r>
            <w:bookmarkEnd w:id="0"/>
          </w:p>
        </w:tc>
      </w:tr>
      <w:tr w:rsidR="002575C8" w:rsidRPr="002575C8" w14:paraId="5A235C76" w14:textId="77777777" w:rsidTr="00F36639">
        <w:trPr>
          <w:trHeight w:val="32"/>
        </w:trPr>
        <w:tc>
          <w:tcPr>
            <w:tcW w:w="5000" w:type="pct"/>
            <w:tcBorders>
              <w:top w:val="single" w:sz="4" w:space="0" w:color="auto"/>
              <w:left w:val="single" w:sz="4" w:space="0" w:color="auto"/>
              <w:bottom w:val="single" w:sz="4" w:space="0" w:color="auto"/>
              <w:right w:val="single" w:sz="4" w:space="0" w:color="auto"/>
            </w:tcBorders>
            <w:shd w:val="clear" w:color="auto" w:fill="auto"/>
            <w:tcMar>
              <w:top w:w="113" w:type="dxa"/>
              <w:left w:w="57" w:type="dxa"/>
              <w:bottom w:w="85" w:type="dxa"/>
              <w:right w:w="57" w:type="dxa"/>
            </w:tcMar>
          </w:tcPr>
          <w:p w14:paraId="34296199" w14:textId="3BD22CAD" w:rsidR="00E0098F" w:rsidRPr="006867AC" w:rsidRDefault="00A4229D" w:rsidP="00E0098F">
            <w:pPr>
              <w:jc w:val="both"/>
              <w:rPr>
                <w:rFonts w:ascii="Arial" w:hAnsi="Arial" w:cs="Arial"/>
                <w:b/>
                <w:sz w:val="16"/>
                <w:szCs w:val="16"/>
              </w:rPr>
            </w:pPr>
            <w:r w:rsidRPr="006867AC">
              <w:rPr>
                <w:rFonts w:ascii="Arial" w:hAnsi="Arial" w:cs="Arial"/>
                <w:b/>
                <w:sz w:val="16"/>
                <w:szCs w:val="16"/>
              </w:rPr>
              <w:t>Utilidad</w:t>
            </w:r>
          </w:p>
          <w:p w14:paraId="2570240A" w14:textId="0C7DA2B8" w:rsidR="00E0098F" w:rsidRPr="006867AC" w:rsidRDefault="0051633C" w:rsidP="00DD528F">
            <w:pPr>
              <w:pStyle w:val="Pa8"/>
              <w:jc w:val="both"/>
              <w:rPr>
                <w:rFonts w:ascii="Arial" w:hAnsi="Arial" w:cs="Arial"/>
                <w:sz w:val="16"/>
                <w:szCs w:val="16"/>
              </w:rPr>
            </w:pPr>
            <w:bookmarkStart w:id="1" w:name="_Hlk6410912"/>
            <w:r w:rsidRPr="006867AC">
              <w:rPr>
                <w:rFonts w:ascii="Arial" w:hAnsi="Arial" w:cs="Arial"/>
                <w:sz w:val="16"/>
                <w:szCs w:val="16"/>
              </w:rPr>
              <w:t>L</w:t>
            </w:r>
            <w:r w:rsidR="00525D77" w:rsidRPr="006867AC">
              <w:rPr>
                <w:rFonts w:ascii="Arial" w:hAnsi="Arial" w:cs="Arial"/>
                <w:sz w:val="16"/>
                <w:szCs w:val="16"/>
              </w:rPr>
              <w:t xml:space="preserve">os valores de </w:t>
            </w:r>
            <w:r w:rsidR="00A72441" w:rsidRPr="006867AC">
              <w:rPr>
                <w:rFonts w:ascii="Arial" w:hAnsi="Arial" w:cs="Arial"/>
                <w:sz w:val="16"/>
                <w:szCs w:val="16"/>
              </w:rPr>
              <w:t xml:space="preserve">este indicador </w:t>
            </w:r>
            <w:r w:rsidR="00981932" w:rsidRPr="006867AC">
              <w:rPr>
                <w:rFonts w:ascii="Arial" w:hAnsi="Arial" w:cs="Arial"/>
                <w:sz w:val="16"/>
                <w:szCs w:val="16"/>
              </w:rPr>
              <w:t>ayuda</w:t>
            </w:r>
            <w:r w:rsidR="00525D77" w:rsidRPr="006867AC">
              <w:rPr>
                <w:rFonts w:ascii="Arial" w:hAnsi="Arial" w:cs="Arial"/>
                <w:sz w:val="16"/>
                <w:szCs w:val="16"/>
              </w:rPr>
              <w:t>n</w:t>
            </w:r>
            <w:r w:rsidR="00981932" w:rsidRPr="006867AC">
              <w:rPr>
                <w:rFonts w:ascii="Arial" w:hAnsi="Arial" w:cs="Arial"/>
                <w:sz w:val="16"/>
                <w:szCs w:val="16"/>
              </w:rPr>
              <w:t xml:space="preserve"> a dimensionar la relación positiva de la escolaridad </w:t>
            </w:r>
            <w:r w:rsidR="00A72441" w:rsidRPr="006867AC">
              <w:rPr>
                <w:rFonts w:ascii="Arial" w:hAnsi="Arial" w:cs="Arial"/>
                <w:sz w:val="16"/>
                <w:szCs w:val="16"/>
              </w:rPr>
              <w:t xml:space="preserve">con </w:t>
            </w:r>
            <w:r w:rsidR="00981932" w:rsidRPr="006867AC">
              <w:rPr>
                <w:rFonts w:ascii="Arial" w:hAnsi="Arial" w:cs="Arial"/>
                <w:sz w:val="16"/>
                <w:szCs w:val="16"/>
              </w:rPr>
              <w:t>las oportunidades de empleo de las personas</w:t>
            </w:r>
            <w:r w:rsidRPr="006867AC">
              <w:rPr>
                <w:rFonts w:ascii="Arial" w:hAnsi="Arial" w:cs="Arial"/>
                <w:sz w:val="16"/>
                <w:szCs w:val="16"/>
              </w:rPr>
              <w:t xml:space="preserve"> adultas</w:t>
            </w:r>
            <w:r w:rsidR="00981932" w:rsidRPr="006867AC">
              <w:rPr>
                <w:rFonts w:ascii="Arial" w:hAnsi="Arial" w:cs="Arial"/>
                <w:sz w:val="16"/>
                <w:szCs w:val="16"/>
              </w:rPr>
              <w:t xml:space="preserve">. </w:t>
            </w:r>
            <w:r w:rsidR="00477B00" w:rsidRPr="006867AC">
              <w:rPr>
                <w:rFonts w:ascii="Arial" w:hAnsi="Arial" w:cs="Arial"/>
                <w:sz w:val="16"/>
                <w:szCs w:val="16"/>
              </w:rPr>
              <w:t xml:space="preserve">Asimismo, </w:t>
            </w:r>
            <w:r w:rsidR="00352D88" w:rsidRPr="006867AC">
              <w:rPr>
                <w:rFonts w:ascii="Arial" w:hAnsi="Arial" w:cs="Arial"/>
                <w:sz w:val="16"/>
                <w:szCs w:val="16"/>
              </w:rPr>
              <w:t>resalta</w:t>
            </w:r>
            <w:r w:rsidR="00477B00" w:rsidRPr="006867AC">
              <w:rPr>
                <w:rFonts w:ascii="Arial" w:hAnsi="Arial" w:cs="Arial"/>
                <w:sz w:val="16"/>
                <w:szCs w:val="16"/>
              </w:rPr>
              <w:t>n</w:t>
            </w:r>
            <w:r w:rsidR="00352D88" w:rsidRPr="006867AC">
              <w:rPr>
                <w:rFonts w:ascii="Arial" w:hAnsi="Arial" w:cs="Arial"/>
                <w:sz w:val="16"/>
                <w:szCs w:val="16"/>
              </w:rPr>
              <w:t xml:space="preserve"> la dificultad que ha de enfrentar la sociedad para lograr que los jóvenes se incorporen al mercado laboral hasta haber alcanzado al menos la escolarización mínima obligatoria. Si ocurriera lo contrario, es decir, que tienen que trabajar sin haber alcanzado al menos la escolarización mínima obligatoria, se minarían sus oportunidades</w:t>
            </w:r>
            <w:r w:rsidR="00352D88" w:rsidRPr="006867AC">
              <w:rPr>
                <w:rFonts w:ascii="Arial" w:hAnsi="Arial" w:cs="Arial"/>
                <w:sz w:val="16"/>
                <w:szCs w:val="16"/>
                <w:lang w:val="es-419"/>
              </w:rPr>
              <w:t xml:space="preserve"> </w:t>
            </w:r>
            <w:r w:rsidR="00352D88" w:rsidRPr="006867AC">
              <w:rPr>
                <w:rFonts w:ascii="Arial" w:hAnsi="Arial" w:cs="Arial"/>
                <w:sz w:val="16"/>
                <w:szCs w:val="16"/>
              </w:rPr>
              <w:t>de seguir avanzando en su educación y de alcanzar una mejor calidad de vida presente y futura.</w:t>
            </w:r>
            <w:bookmarkEnd w:id="1"/>
          </w:p>
        </w:tc>
      </w:tr>
      <w:tr w:rsidR="002575C8" w:rsidRPr="002575C8" w14:paraId="4074C8F0" w14:textId="77777777" w:rsidTr="00F36639">
        <w:trPr>
          <w:trHeight w:val="32"/>
        </w:trPr>
        <w:tc>
          <w:tcPr>
            <w:tcW w:w="5000" w:type="pct"/>
            <w:tcBorders>
              <w:top w:val="single" w:sz="4" w:space="0" w:color="auto"/>
              <w:left w:val="single" w:sz="4" w:space="0" w:color="auto"/>
              <w:bottom w:val="single" w:sz="4" w:space="0" w:color="auto"/>
              <w:right w:val="single" w:sz="4" w:space="0" w:color="auto"/>
            </w:tcBorders>
            <w:shd w:val="clear" w:color="auto" w:fill="auto"/>
            <w:tcMar>
              <w:top w:w="113" w:type="dxa"/>
              <w:left w:w="57" w:type="dxa"/>
              <w:bottom w:w="85" w:type="dxa"/>
              <w:right w:w="57" w:type="dxa"/>
            </w:tcMar>
          </w:tcPr>
          <w:p w14:paraId="199F09FD" w14:textId="4C225F3D" w:rsidR="00E0098F" w:rsidRPr="006867AC" w:rsidRDefault="00E0098F" w:rsidP="00E0098F">
            <w:pPr>
              <w:jc w:val="both"/>
              <w:rPr>
                <w:rFonts w:ascii="Arial" w:hAnsi="Arial" w:cs="Arial"/>
                <w:b/>
                <w:sz w:val="16"/>
                <w:szCs w:val="16"/>
              </w:rPr>
            </w:pPr>
            <w:r w:rsidRPr="006867AC">
              <w:rPr>
                <w:rFonts w:ascii="Arial" w:hAnsi="Arial" w:cs="Arial"/>
                <w:b/>
                <w:sz w:val="16"/>
                <w:szCs w:val="16"/>
              </w:rPr>
              <w:t>Ofrece elementos para evaluar las siguientes di</w:t>
            </w:r>
            <w:r w:rsidR="00A4229D" w:rsidRPr="006867AC">
              <w:rPr>
                <w:rFonts w:ascii="Arial" w:hAnsi="Arial" w:cs="Arial"/>
                <w:b/>
                <w:sz w:val="16"/>
                <w:szCs w:val="16"/>
              </w:rPr>
              <w:t xml:space="preserve">mensiones de </w:t>
            </w:r>
            <w:r w:rsidR="0004186C" w:rsidRPr="006867AC">
              <w:rPr>
                <w:rFonts w:ascii="Arial" w:hAnsi="Arial" w:cs="Arial"/>
                <w:b/>
                <w:sz w:val="16"/>
                <w:szCs w:val="16"/>
              </w:rPr>
              <w:t xml:space="preserve">la </w:t>
            </w:r>
            <w:r w:rsidR="00A4229D" w:rsidRPr="006867AC">
              <w:rPr>
                <w:rFonts w:ascii="Arial" w:hAnsi="Arial" w:cs="Arial"/>
                <w:b/>
                <w:sz w:val="16"/>
                <w:szCs w:val="16"/>
              </w:rPr>
              <w:t>calidad educativa</w:t>
            </w:r>
          </w:p>
          <w:p w14:paraId="054EF0B3" w14:textId="6D05D109" w:rsidR="00E0098F" w:rsidRPr="006867AC" w:rsidRDefault="00E0098F" w:rsidP="00E0098F">
            <w:pPr>
              <w:jc w:val="both"/>
              <w:rPr>
                <w:rFonts w:ascii="Arial" w:hAnsi="Arial" w:cs="Arial"/>
                <w:b/>
                <w:sz w:val="16"/>
                <w:szCs w:val="16"/>
              </w:rPr>
            </w:pPr>
            <w:r w:rsidRPr="006867AC">
              <w:rPr>
                <w:rFonts w:ascii="Arial" w:hAnsi="Arial" w:cs="Arial"/>
                <w:sz w:val="16"/>
                <w:szCs w:val="16"/>
              </w:rPr>
              <w:t>Impacto, pertinencia y relevancia de la educación</w:t>
            </w:r>
          </w:p>
        </w:tc>
      </w:tr>
      <w:tr w:rsidR="00E0098F" w:rsidRPr="002575C8" w14:paraId="2E58DCAD" w14:textId="77777777" w:rsidTr="00F36639">
        <w:trPr>
          <w:trHeight w:val="1835"/>
        </w:trPr>
        <w:tc>
          <w:tcPr>
            <w:tcW w:w="5000" w:type="pct"/>
            <w:tcBorders>
              <w:top w:val="single" w:sz="4" w:space="0" w:color="auto"/>
              <w:left w:val="single" w:sz="4" w:space="0" w:color="auto"/>
              <w:bottom w:val="single" w:sz="4" w:space="0" w:color="auto"/>
              <w:right w:val="single" w:sz="4" w:space="0" w:color="auto"/>
            </w:tcBorders>
            <w:shd w:val="clear" w:color="auto" w:fill="auto"/>
            <w:tcMar>
              <w:top w:w="113" w:type="dxa"/>
              <w:left w:w="57" w:type="dxa"/>
              <w:bottom w:w="85" w:type="dxa"/>
              <w:right w:w="57" w:type="dxa"/>
            </w:tcMar>
          </w:tcPr>
          <w:p w14:paraId="5B4D64B8" w14:textId="5B1DB5EF" w:rsidR="00E0098F" w:rsidRPr="006867AC" w:rsidRDefault="003A72D4" w:rsidP="00E27DC2">
            <w:pPr>
              <w:spacing w:before="40"/>
              <w:jc w:val="both"/>
              <w:rPr>
                <w:rFonts w:ascii="Arial" w:hAnsi="Arial" w:cs="Arial"/>
                <w:b/>
                <w:sz w:val="16"/>
                <w:szCs w:val="16"/>
              </w:rPr>
            </w:pPr>
            <w:r w:rsidRPr="006867AC">
              <w:rPr>
                <w:rFonts w:ascii="Arial" w:hAnsi="Arial" w:cs="Arial"/>
                <w:b/>
                <w:sz w:val="16"/>
                <w:szCs w:val="16"/>
              </w:rPr>
              <w:t>Desagregación</w:t>
            </w:r>
          </w:p>
          <w:p w14:paraId="431DD643" w14:textId="51E0FE76" w:rsidR="002D31A0" w:rsidRPr="006867AC" w:rsidRDefault="00E1656E" w:rsidP="00E27DC2">
            <w:pPr>
              <w:ind w:right="108"/>
              <w:jc w:val="both"/>
              <w:rPr>
                <w:rFonts w:ascii="Arial" w:hAnsi="Arial" w:cs="Arial"/>
                <w:sz w:val="16"/>
                <w:szCs w:val="16"/>
              </w:rPr>
            </w:pPr>
            <w:r w:rsidRPr="006867AC">
              <w:rPr>
                <w:rFonts w:ascii="Arial" w:hAnsi="Arial" w:cs="Arial"/>
                <w:sz w:val="16"/>
                <w:szCs w:val="16"/>
              </w:rPr>
              <w:t>Este indicador se presenta en las siguientes desagregaciones: e</w:t>
            </w:r>
            <w:r w:rsidR="002D31A0" w:rsidRPr="006867AC">
              <w:rPr>
                <w:rFonts w:ascii="Arial" w:hAnsi="Arial" w:cs="Arial"/>
                <w:sz w:val="16"/>
                <w:szCs w:val="16"/>
              </w:rPr>
              <w:t>ntidad federativa, sexo, tamaño de localidad</w:t>
            </w:r>
            <w:r w:rsidR="001016E3" w:rsidRPr="006867AC">
              <w:rPr>
                <w:rFonts w:ascii="Arial (W1)" w:hAnsi="Arial (W1)" w:cs="Arial"/>
                <w:sz w:val="16"/>
                <w:szCs w:val="16"/>
                <w:vertAlign w:val="superscript"/>
              </w:rPr>
              <w:t>3</w:t>
            </w:r>
            <w:r w:rsidR="002D31A0" w:rsidRPr="006867AC">
              <w:rPr>
                <w:rFonts w:ascii="Arial" w:hAnsi="Arial" w:cs="Arial"/>
                <w:sz w:val="16"/>
                <w:szCs w:val="16"/>
              </w:rPr>
              <w:t xml:space="preserve"> y</w:t>
            </w:r>
            <w:r w:rsidR="008909DA" w:rsidRPr="006867AC">
              <w:rPr>
                <w:rFonts w:ascii="Arial" w:hAnsi="Arial" w:cs="Arial"/>
                <w:sz w:val="16"/>
                <w:szCs w:val="16"/>
              </w:rPr>
              <w:t xml:space="preserve"> subgrupos de edad (jóvenes de</w:t>
            </w:r>
            <w:r w:rsidR="00A46597" w:rsidRPr="006867AC">
              <w:rPr>
                <w:rFonts w:ascii="Arial" w:hAnsi="Arial" w:cs="Arial"/>
                <w:sz w:val="16"/>
                <w:szCs w:val="16"/>
              </w:rPr>
              <w:t xml:space="preserve"> </w:t>
            </w:r>
            <w:r w:rsidR="008909DA" w:rsidRPr="006867AC">
              <w:rPr>
                <w:rFonts w:ascii="Arial" w:hAnsi="Arial" w:cs="Arial"/>
                <w:sz w:val="16"/>
                <w:szCs w:val="16"/>
              </w:rPr>
              <w:t>15</w:t>
            </w:r>
            <w:r w:rsidR="002D31A0" w:rsidRPr="006867AC">
              <w:rPr>
                <w:rFonts w:ascii="Arial" w:hAnsi="Arial" w:cs="Arial"/>
                <w:sz w:val="16"/>
                <w:szCs w:val="16"/>
              </w:rPr>
              <w:t xml:space="preserve"> a 19</w:t>
            </w:r>
            <w:r w:rsidR="008909DA" w:rsidRPr="006867AC">
              <w:rPr>
                <w:rFonts w:ascii="Arial" w:hAnsi="Arial" w:cs="Arial"/>
                <w:sz w:val="16"/>
                <w:szCs w:val="16"/>
              </w:rPr>
              <w:t>, 20 a 24 y 25 a 29</w:t>
            </w:r>
            <w:r w:rsidR="002D31A0" w:rsidRPr="006867AC">
              <w:rPr>
                <w:rFonts w:ascii="Arial" w:hAnsi="Arial" w:cs="Arial"/>
                <w:sz w:val="16"/>
                <w:szCs w:val="16"/>
              </w:rPr>
              <w:t xml:space="preserve"> años, y adultos de </w:t>
            </w:r>
            <w:smartTag w:uri="urn:schemas-microsoft-com:office:smarttags" w:element="metricconverter">
              <w:smartTagPr>
                <w:attr w:name="ProductID" w:val="25 a"/>
              </w:smartTagPr>
              <w:r w:rsidR="002D31A0" w:rsidRPr="006867AC">
                <w:rPr>
                  <w:rFonts w:ascii="Arial" w:hAnsi="Arial" w:cs="Arial"/>
                  <w:sz w:val="16"/>
                  <w:szCs w:val="16"/>
                </w:rPr>
                <w:t>25 a</w:t>
              </w:r>
            </w:smartTag>
            <w:r w:rsidR="002D31A0" w:rsidRPr="006867AC">
              <w:rPr>
                <w:rFonts w:ascii="Arial" w:hAnsi="Arial" w:cs="Arial"/>
                <w:sz w:val="16"/>
                <w:szCs w:val="16"/>
              </w:rPr>
              <w:t xml:space="preserve"> 44 y </w:t>
            </w:r>
            <w:smartTag w:uri="urn:schemas-microsoft-com:office:smarttags" w:element="metricconverter">
              <w:smartTagPr>
                <w:attr w:name="ProductID" w:val="45 a"/>
              </w:smartTagPr>
              <w:r w:rsidR="002D31A0" w:rsidRPr="006867AC">
                <w:rPr>
                  <w:rFonts w:ascii="Arial" w:hAnsi="Arial" w:cs="Arial"/>
                  <w:sz w:val="16"/>
                  <w:szCs w:val="16"/>
                </w:rPr>
                <w:t>45 a</w:t>
              </w:r>
            </w:smartTag>
            <w:r w:rsidR="002D31A0" w:rsidRPr="006867AC">
              <w:rPr>
                <w:rFonts w:ascii="Arial" w:hAnsi="Arial" w:cs="Arial"/>
                <w:sz w:val="16"/>
                <w:szCs w:val="16"/>
              </w:rPr>
              <w:t xml:space="preserve"> 64 años).</w:t>
            </w:r>
          </w:p>
          <w:p w14:paraId="6AA2B2DE" w14:textId="1FA76728" w:rsidR="00A46597" w:rsidRPr="006867AC" w:rsidRDefault="00A46597" w:rsidP="009B1F2F">
            <w:pPr>
              <w:ind w:right="-68"/>
              <w:jc w:val="both"/>
              <w:rPr>
                <w:rFonts w:ascii="Arial" w:hAnsi="Arial" w:cs="Arial"/>
                <w:sz w:val="16"/>
                <w:szCs w:val="16"/>
              </w:rPr>
            </w:pPr>
          </w:p>
          <w:p w14:paraId="273E962B" w14:textId="2DDFD917" w:rsidR="00A46597" w:rsidRPr="006867AC" w:rsidRDefault="00A46597" w:rsidP="00DD528F">
            <w:pPr>
              <w:pStyle w:val="Prrafodelista"/>
              <w:numPr>
                <w:ilvl w:val="0"/>
                <w:numId w:val="2"/>
              </w:numPr>
              <w:ind w:left="227" w:hanging="227"/>
              <w:jc w:val="both"/>
              <w:rPr>
                <w:rFonts w:ascii="Arial" w:hAnsi="Arial" w:cs="Arial"/>
                <w:b/>
                <w:sz w:val="16"/>
                <w:szCs w:val="16"/>
              </w:rPr>
            </w:pPr>
            <w:r w:rsidRPr="006867AC">
              <w:rPr>
                <w:rFonts w:ascii="Arial" w:hAnsi="Arial" w:cs="Arial"/>
                <w:b/>
                <w:sz w:val="16"/>
                <w:szCs w:val="16"/>
              </w:rPr>
              <w:t>M</w:t>
            </w:r>
            <w:r w:rsidR="00E1656E" w:rsidRPr="006867AC">
              <w:rPr>
                <w:rFonts w:ascii="Arial" w:hAnsi="Arial" w:cs="Arial"/>
                <w:b/>
                <w:sz w:val="16"/>
                <w:szCs w:val="16"/>
              </w:rPr>
              <w:t>áximo</w:t>
            </w:r>
            <w:r w:rsidR="007E0B7A" w:rsidRPr="006867AC">
              <w:rPr>
                <w:rFonts w:ascii="Arial" w:hAnsi="Arial" w:cs="Arial"/>
                <w:b/>
                <w:sz w:val="16"/>
                <w:szCs w:val="16"/>
              </w:rPr>
              <w:t xml:space="preserve"> nivel</w:t>
            </w:r>
            <w:r w:rsidR="00E1656E" w:rsidRPr="006867AC">
              <w:rPr>
                <w:rFonts w:ascii="Arial" w:hAnsi="Arial" w:cs="Arial"/>
                <w:b/>
                <w:sz w:val="16"/>
                <w:szCs w:val="16"/>
              </w:rPr>
              <w:t xml:space="preserve"> de desagregación</w:t>
            </w:r>
          </w:p>
          <w:p w14:paraId="47FF9AF9" w14:textId="0134C664" w:rsidR="00A46597" w:rsidRPr="006867AC" w:rsidRDefault="00A46597" w:rsidP="00A46597">
            <w:pPr>
              <w:ind w:right="-68"/>
              <w:jc w:val="both"/>
              <w:rPr>
                <w:rFonts w:ascii="Arial" w:hAnsi="Arial" w:cs="Arial"/>
                <w:sz w:val="16"/>
                <w:szCs w:val="16"/>
              </w:rPr>
            </w:pPr>
            <w:r w:rsidRPr="006867AC">
              <w:rPr>
                <w:rFonts w:ascii="Arial" w:hAnsi="Arial" w:cs="Arial"/>
                <w:sz w:val="16"/>
                <w:szCs w:val="16"/>
              </w:rPr>
              <w:t xml:space="preserve">Entidad federativa, 32 ciudades </w:t>
            </w:r>
            <w:proofErr w:type="spellStart"/>
            <w:r w:rsidRPr="006867AC">
              <w:rPr>
                <w:rFonts w:ascii="Arial" w:hAnsi="Arial" w:cs="Arial"/>
                <w:sz w:val="16"/>
                <w:szCs w:val="16"/>
                <w:shd w:val="clear" w:color="auto" w:fill="FFFFFF"/>
              </w:rPr>
              <w:t>autor</w:t>
            </w:r>
            <w:r w:rsidR="00202E38" w:rsidRPr="006867AC">
              <w:rPr>
                <w:rFonts w:ascii="Arial" w:hAnsi="Arial" w:cs="Arial"/>
                <w:sz w:val="16"/>
                <w:szCs w:val="16"/>
                <w:shd w:val="clear" w:color="auto" w:fill="FFFFFF"/>
              </w:rPr>
              <w:t>r</w:t>
            </w:r>
            <w:r w:rsidRPr="006867AC">
              <w:rPr>
                <w:rFonts w:ascii="Arial" w:hAnsi="Arial" w:cs="Arial"/>
                <w:sz w:val="16"/>
                <w:szCs w:val="16"/>
                <w:shd w:val="clear" w:color="auto" w:fill="FFFFFF"/>
              </w:rPr>
              <w:t>epresentadas</w:t>
            </w:r>
            <w:proofErr w:type="spellEnd"/>
            <w:r w:rsidRPr="006867AC">
              <w:rPr>
                <w:rFonts w:ascii="Arial" w:hAnsi="Arial" w:cs="Arial"/>
                <w:sz w:val="16"/>
                <w:szCs w:val="16"/>
                <w:shd w:val="clear" w:color="auto" w:fill="FFFFFF"/>
              </w:rPr>
              <w:t xml:space="preserve"> de 100 000 habitantes o más.</w:t>
            </w:r>
            <w:r w:rsidRPr="006867AC">
              <w:rPr>
                <w:rFonts w:ascii="Arial" w:hAnsi="Arial" w:cs="Arial"/>
                <w:sz w:val="16"/>
                <w:szCs w:val="16"/>
                <w:shd w:val="clear" w:color="auto" w:fill="FFFFFF"/>
                <w:vertAlign w:val="superscript"/>
              </w:rPr>
              <w:t>4</w:t>
            </w:r>
          </w:p>
          <w:p w14:paraId="6AB1A5FF" w14:textId="6AFB7D30" w:rsidR="009B1F2F" w:rsidRPr="006867AC" w:rsidRDefault="00A46597" w:rsidP="009B1F2F">
            <w:pPr>
              <w:ind w:right="-68"/>
              <w:jc w:val="both"/>
              <w:rPr>
                <w:rFonts w:ascii="Arial" w:hAnsi="Arial" w:cs="Arial"/>
                <w:sz w:val="16"/>
                <w:szCs w:val="16"/>
              </w:rPr>
            </w:pPr>
            <w:r w:rsidRPr="006867AC">
              <w:rPr>
                <w:rFonts w:ascii="Arial" w:hAnsi="Arial" w:cs="Arial"/>
                <w:sz w:val="16"/>
                <w:szCs w:val="16"/>
              </w:rPr>
              <w:t>L</w:t>
            </w:r>
            <w:r w:rsidR="009B1F2F" w:rsidRPr="006867AC">
              <w:rPr>
                <w:rFonts w:ascii="Arial" w:hAnsi="Arial" w:cs="Arial"/>
                <w:sz w:val="16"/>
                <w:szCs w:val="16"/>
              </w:rPr>
              <w:t>ocalidades de 100 000 y más habitantes, de 15 000 a 99 999 habitantes, de 2 500 a 14 999 habitantes y de menos de 2 500 habitantes.</w:t>
            </w:r>
          </w:p>
          <w:p w14:paraId="073C3322" w14:textId="77777777" w:rsidR="00A46597" w:rsidRPr="006867AC" w:rsidRDefault="00A46597" w:rsidP="00E27DC2">
            <w:pPr>
              <w:spacing w:before="40"/>
              <w:ind w:right="108"/>
              <w:jc w:val="both"/>
              <w:rPr>
                <w:rFonts w:ascii="Arial" w:hAnsi="Arial" w:cs="Arial"/>
                <w:b/>
                <w:sz w:val="16"/>
                <w:szCs w:val="16"/>
              </w:rPr>
            </w:pPr>
          </w:p>
          <w:p w14:paraId="3C3A29CA" w14:textId="204E1D4E" w:rsidR="00E0098F" w:rsidRPr="006867AC" w:rsidRDefault="00E0098F" w:rsidP="00E27DC2">
            <w:pPr>
              <w:spacing w:before="40"/>
              <w:ind w:right="108"/>
              <w:jc w:val="both"/>
              <w:rPr>
                <w:rFonts w:ascii="Arial" w:hAnsi="Arial" w:cs="Arial"/>
                <w:b/>
                <w:sz w:val="16"/>
                <w:szCs w:val="16"/>
              </w:rPr>
            </w:pPr>
            <w:r w:rsidRPr="006867AC">
              <w:rPr>
                <w:rFonts w:ascii="Arial" w:hAnsi="Arial" w:cs="Arial"/>
                <w:b/>
                <w:sz w:val="16"/>
                <w:szCs w:val="16"/>
              </w:rPr>
              <w:t>Fuente</w:t>
            </w:r>
            <w:r w:rsidR="0051633C" w:rsidRPr="006867AC">
              <w:rPr>
                <w:rFonts w:ascii="Arial" w:hAnsi="Arial" w:cs="Arial"/>
                <w:b/>
                <w:sz w:val="16"/>
                <w:szCs w:val="16"/>
              </w:rPr>
              <w:t>s</w:t>
            </w:r>
            <w:r w:rsidRPr="006867AC">
              <w:rPr>
                <w:rFonts w:ascii="Arial" w:hAnsi="Arial" w:cs="Arial"/>
                <w:b/>
                <w:sz w:val="16"/>
                <w:szCs w:val="16"/>
              </w:rPr>
              <w:t xml:space="preserve"> de información</w:t>
            </w:r>
          </w:p>
          <w:p w14:paraId="0B352ACE" w14:textId="77777777" w:rsidR="002316BC" w:rsidRPr="006867AC" w:rsidRDefault="002316BC" w:rsidP="002316BC">
            <w:pPr>
              <w:pStyle w:val="Encabezado"/>
              <w:tabs>
                <w:tab w:val="left" w:pos="4500"/>
                <w:tab w:val="left" w:pos="4680"/>
              </w:tabs>
              <w:ind w:right="113"/>
              <w:jc w:val="both"/>
              <w:rPr>
                <w:rFonts w:cs="Arial"/>
                <w:i/>
                <w:sz w:val="16"/>
                <w:szCs w:val="16"/>
              </w:rPr>
            </w:pPr>
            <w:r w:rsidRPr="00F94BE9">
              <w:rPr>
                <w:rFonts w:cs="Arial"/>
                <w:caps/>
                <w:sz w:val="16"/>
                <w:szCs w:val="16"/>
              </w:rPr>
              <w:t>Inegi</w:t>
            </w:r>
            <w:r w:rsidRPr="006867AC">
              <w:rPr>
                <w:rFonts w:cs="Arial"/>
                <w:sz w:val="16"/>
                <w:szCs w:val="16"/>
              </w:rPr>
              <w:t xml:space="preserve"> (2013). Encuesta Nacional de Ocupación y Empleo, 2º trimestre de 2013 (base de microdatos).</w:t>
            </w:r>
          </w:p>
          <w:p w14:paraId="007A8219" w14:textId="3B3B4586" w:rsidR="006A4557" w:rsidRPr="006867AC" w:rsidRDefault="00F94BE9" w:rsidP="006A4557">
            <w:pPr>
              <w:pStyle w:val="Encabezado"/>
              <w:tabs>
                <w:tab w:val="left" w:pos="4500"/>
                <w:tab w:val="left" w:pos="4680"/>
              </w:tabs>
              <w:ind w:right="113"/>
              <w:jc w:val="both"/>
              <w:rPr>
                <w:rFonts w:cs="Arial"/>
                <w:sz w:val="16"/>
                <w:szCs w:val="16"/>
              </w:rPr>
            </w:pPr>
            <w:r w:rsidRPr="00F94BE9">
              <w:rPr>
                <w:rFonts w:cs="Arial"/>
                <w:caps/>
                <w:sz w:val="16"/>
                <w:szCs w:val="16"/>
              </w:rPr>
              <w:t>Inegi</w:t>
            </w:r>
            <w:r w:rsidR="00FC58E6" w:rsidRPr="006867AC">
              <w:rPr>
                <w:rFonts w:cs="Arial"/>
                <w:sz w:val="16"/>
                <w:szCs w:val="16"/>
              </w:rPr>
              <w:t xml:space="preserve"> (2018</w:t>
            </w:r>
            <w:r w:rsidR="002316BC" w:rsidRPr="006867AC">
              <w:rPr>
                <w:rFonts w:cs="Arial"/>
                <w:sz w:val="16"/>
                <w:szCs w:val="16"/>
              </w:rPr>
              <w:t>a</w:t>
            </w:r>
            <w:r w:rsidR="006A4557" w:rsidRPr="006867AC">
              <w:rPr>
                <w:rFonts w:cs="Arial"/>
                <w:sz w:val="16"/>
                <w:szCs w:val="16"/>
              </w:rPr>
              <w:t>). Encuesta Nacional de Ocupación y Empleo</w:t>
            </w:r>
            <w:r w:rsidR="00C92387" w:rsidRPr="006867AC">
              <w:rPr>
                <w:rFonts w:cs="Arial"/>
                <w:sz w:val="16"/>
                <w:szCs w:val="16"/>
              </w:rPr>
              <w:t>, 2º trimestre de 2018</w:t>
            </w:r>
            <w:r w:rsidR="006A4557" w:rsidRPr="006867AC">
              <w:rPr>
                <w:rFonts w:cs="Arial"/>
                <w:sz w:val="16"/>
                <w:szCs w:val="16"/>
              </w:rPr>
              <w:t xml:space="preserve"> (base de </w:t>
            </w:r>
            <w:proofErr w:type="spellStart"/>
            <w:r w:rsidR="006A4557" w:rsidRPr="006867AC">
              <w:rPr>
                <w:rFonts w:cs="Arial"/>
                <w:sz w:val="16"/>
                <w:szCs w:val="16"/>
              </w:rPr>
              <w:t>microdatos</w:t>
            </w:r>
            <w:proofErr w:type="spellEnd"/>
            <w:r w:rsidR="006A4557" w:rsidRPr="006867AC">
              <w:rPr>
                <w:rFonts w:cs="Arial"/>
                <w:sz w:val="16"/>
                <w:szCs w:val="16"/>
              </w:rPr>
              <w:t>).</w:t>
            </w:r>
          </w:p>
          <w:p w14:paraId="1E61F16B" w14:textId="133E4D28" w:rsidR="00C644AB" w:rsidRPr="006867AC" w:rsidRDefault="00C644AB" w:rsidP="00C644AB">
            <w:pPr>
              <w:pStyle w:val="Encabezado"/>
              <w:tabs>
                <w:tab w:val="left" w:pos="4500"/>
                <w:tab w:val="left" w:pos="4680"/>
              </w:tabs>
              <w:ind w:right="113"/>
              <w:jc w:val="both"/>
              <w:rPr>
                <w:rFonts w:cs="Arial"/>
                <w:sz w:val="16"/>
                <w:szCs w:val="16"/>
              </w:rPr>
            </w:pPr>
          </w:p>
          <w:p w14:paraId="32652013" w14:textId="77777777" w:rsidR="00E0098F" w:rsidRPr="006867AC" w:rsidRDefault="00E0098F" w:rsidP="00E27DC2">
            <w:pPr>
              <w:pStyle w:val="Encabezado"/>
              <w:tabs>
                <w:tab w:val="left" w:pos="4500"/>
                <w:tab w:val="left" w:pos="4680"/>
              </w:tabs>
              <w:spacing w:before="40"/>
              <w:ind w:right="113"/>
              <w:jc w:val="both"/>
              <w:rPr>
                <w:rFonts w:cs="Arial"/>
                <w:sz w:val="16"/>
                <w:szCs w:val="16"/>
              </w:rPr>
            </w:pPr>
            <w:r w:rsidRPr="006867AC">
              <w:rPr>
                <w:rFonts w:cs="Arial"/>
                <w:b/>
                <w:sz w:val="16"/>
                <w:szCs w:val="16"/>
              </w:rPr>
              <w:t>Notas</w:t>
            </w:r>
          </w:p>
          <w:p w14:paraId="59F9869D" w14:textId="6938C75E" w:rsidR="00396B3B" w:rsidRPr="006867AC" w:rsidRDefault="00E0098F" w:rsidP="00E27DC2">
            <w:pPr>
              <w:jc w:val="both"/>
              <w:rPr>
                <w:rFonts w:ascii="Arial" w:hAnsi="Arial" w:cs="Arial"/>
                <w:sz w:val="12"/>
                <w:szCs w:val="12"/>
              </w:rPr>
            </w:pPr>
            <w:r w:rsidRPr="006867AC">
              <w:rPr>
                <w:rFonts w:ascii="Arial" w:hAnsi="Arial" w:cs="Arial"/>
                <w:sz w:val="12"/>
                <w:szCs w:val="12"/>
                <w:vertAlign w:val="superscript"/>
              </w:rPr>
              <w:t xml:space="preserve">1 </w:t>
            </w:r>
            <w:r w:rsidR="000517DE" w:rsidRPr="006867AC">
              <w:rPr>
                <w:rFonts w:ascii="Arial" w:hAnsi="Arial" w:cs="Arial"/>
                <w:sz w:val="12"/>
                <w:szCs w:val="12"/>
              </w:rPr>
              <w:t xml:space="preserve">La población ocupada está </w:t>
            </w:r>
            <w:r w:rsidRPr="006867AC">
              <w:rPr>
                <w:rFonts w:ascii="Arial" w:hAnsi="Arial" w:cs="Arial"/>
                <w:sz w:val="12"/>
                <w:szCs w:val="12"/>
              </w:rPr>
              <w:t>formada por aquellas personas que durante la semana de referencia realizaron alguna actividad económica</w:t>
            </w:r>
            <w:r w:rsidR="00F36639" w:rsidRPr="006867AC">
              <w:rPr>
                <w:rFonts w:ascii="Arial" w:hAnsi="Arial" w:cs="Arial"/>
                <w:sz w:val="12"/>
                <w:szCs w:val="12"/>
              </w:rPr>
              <w:t xml:space="preserve"> </w:t>
            </w:r>
            <w:r w:rsidRPr="006867AC">
              <w:rPr>
                <w:rFonts w:ascii="Arial" w:hAnsi="Arial" w:cs="Arial"/>
                <w:sz w:val="12"/>
                <w:szCs w:val="12"/>
              </w:rPr>
              <w:t>en cualquiera de las siguientes dos situaciones: a) trabajando por lo menos una hora o un día para producir bienes y/o servicios de manera independiente o subordinada, con o sin remuneración; b) ausente temporalmente de su trabajo sin interrumpir el vínculo laboral con la unidad económica. Incluye a los ocupados del sector primario que producen para el autoconsumo, excepto a los recolectores de leña.</w:t>
            </w:r>
          </w:p>
          <w:p w14:paraId="37185B0B" w14:textId="7A419089" w:rsidR="00396B3B" w:rsidRPr="006867AC" w:rsidRDefault="005D6FE3" w:rsidP="005D6FE3">
            <w:pPr>
              <w:pStyle w:val="HTMLconformatoprevio"/>
              <w:jc w:val="both"/>
              <w:rPr>
                <w:rFonts w:ascii="Arial" w:hAnsi="Arial" w:cs="Arial"/>
                <w:sz w:val="12"/>
                <w:szCs w:val="12"/>
                <w:lang w:val="es-ES" w:eastAsia="es-ES"/>
              </w:rPr>
            </w:pPr>
            <w:r w:rsidRPr="006867AC">
              <w:rPr>
                <w:rFonts w:ascii="Arial" w:hAnsi="Arial" w:cs="Arial"/>
                <w:sz w:val="12"/>
                <w:szCs w:val="12"/>
                <w:vertAlign w:val="superscript"/>
              </w:rPr>
              <w:t xml:space="preserve">2 </w:t>
            </w:r>
            <w:r w:rsidRPr="006867AC">
              <w:rPr>
                <w:rFonts w:ascii="Arial" w:hAnsi="Arial" w:cs="Arial"/>
                <w:sz w:val="12"/>
                <w:szCs w:val="12"/>
              </w:rPr>
              <w:t xml:space="preserve">Los </w:t>
            </w:r>
            <w:r w:rsidRPr="006867AC">
              <w:rPr>
                <w:rFonts w:ascii="Arial" w:hAnsi="Arial" w:cs="Arial"/>
                <w:sz w:val="12"/>
                <w:szCs w:val="12"/>
                <w:lang w:val="es-ES" w:eastAsia="es-ES"/>
              </w:rPr>
              <w:t xml:space="preserve">niveles de escolaridad incluyen a quienes tienen estudios formales como sigue: </w:t>
            </w:r>
            <w:r w:rsidRPr="006867AC">
              <w:rPr>
                <w:rFonts w:ascii="Arial" w:hAnsi="Arial" w:cs="Arial"/>
                <w:i/>
                <w:sz w:val="12"/>
                <w:szCs w:val="12"/>
                <w:lang w:val="es-ES" w:eastAsia="es-ES"/>
              </w:rPr>
              <w:t>sin básica</w:t>
            </w:r>
            <w:r w:rsidRPr="006867AC">
              <w:rPr>
                <w:rFonts w:ascii="Arial" w:hAnsi="Arial" w:cs="Arial"/>
                <w:sz w:val="12"/>
                <w:szCs w:val="12"/>
                <w:lang w:val="es-ES" w:eastAsia="es-ES"/>
              </w:rPr>
              <w:t xml:space="preserve"> (sin escolaridad, preescolar, primaria incompleta y grado no específico, secundaria incompleta y grado no específico, normal o carrera técnica comercial con antecedente de primaria y grados 1-2 y no especificados</w:t>
            </w:r>
            <w:r w:rsidR="00FA3BE9" w:rsidRPr="006867AC">
              <w:rPr>
                <w:rFonts w:ascii="Arial" w:hAnsi="Arial" w:cs="Arial"/>
                <w:sz w:val="12"/>
                <w:szCs w:val="12"/>
                <w:lang w:val="es-ES" w:eastAsia="es-ES"/>
              </w:rPr>
              <w:t>)</w:t>
            </w:r>
            <w:r w:rsidRPr="006867AC">
              <w:rPr>
                <w:rFonts w:ascii="Arial" w:hAnsi="Arial" w:cs="Arial"/>
                <w:sz w:val="12"/>
                <w:szCs w:val="12"/>
                <w:lang w:val="es-ES" w:eastAsia="es-ES"/>
              </w:rPr>
              <w:t xml:space="preserve">; </w:t>
            </w:r>
            <w:r w:rsidRPr="006867AC">
              <w:rPr>
                <w:rFonts w:ascii="Arial" w:hAnsi="Arial" w:cs="Arial"/>
                <w:i/>
                <w:sz w:val="12"/>
                <w:szCs w:val="12"/>
                <w:lang w:val="es-ES" w:eastAsia="es-ES"/>
              </w:rPr>
              <w:t xml:space="preserve">básica </w:t>
            </w:r>
            <w:r w:rsidR="00FA3BE9" w:rsidRPr="006867AC">
              <w:rPr>
                <w:rFonts w:ascii="Arial" w:hAnsi="Arial" w:cs="Arial"/>
                <w:sz w:val="12"/>
                <w:szCs w:val="12"/>
                <w:lang w:val="es-ES" w:eastAsia="es-ES"/>
              </w:rPr>
              <w:t>(</w:t>
            </w:r>
            <w:r w:rsidRPr="006867AC">
              <w:rPr>
                <w:rFonts w:ascii="Arial" w:hAnsi="Arial" w:cs="Arial"/>
                <w:sz w:val="12"/>
                <w:szCs w:val="12"/>
                <w:lang w:val="es-ES" w:eastAsia="es-ES"/>
              </w:rPr>
              <w:t>secundaria completa, bachillerato incompleto y grado no específico, normal o técnica comercial con antecedente de secundaria con grados 1-2 y no especificados, técnico comercial con antecedente primaria y 3 o más grados</w:t>
            </w:r>
            <w:r w:rsidR="00FA3BE9" w:rsidRPr="006867AC">
              <w:rPr>
                <w:rFonts w:ascii="Arial" w:hAnsi="Arial" w:cs="Arial"/>
                <w:sz w:val="12"/>
                <w:szCs w:val="12"/>
                <w:lang w:val="es-ES" w:eastAsia="es-ES"/>
              </w:rPr>
              <w:t>)</w:t>
            </w:r>
            <w:r w:rsidRPr="006867AC">
              <w:rPr>
                <w:rFonts w:ascii="Arial" w:hAnsi="Arial" w:cs="Arial"/>
                <w:sz w:val="12"/>
                <w:szCs w:val="12"/>
                <w:lang w:val="es-ES" w:eastAsia="es-ES"/>
              </w:rPr>
              <w:t xml:space="preserve">; </w:t>
            </w:r>
            <w:r w:rsidRPr="006867AC">
              <w:rPr>
                <w:rFonts w:ascii="Arial" w:hAnsi="Arial" w:cs="Arial"/>
                <w:i/>
                <w:sz w:val="12"/>
                <w:szCs w:val="12"/>
                <w:lang w:val="es-ES" w:eastAsia="es-ES"/>
              </w:rPr>
              <w:t xml:space="preserve">media superior </w:t>
            </w:r>
            <w:r w:rsidRPr="006867AC">
              <w:rPr>
                <w:rFonts w:ascii="Arial" w:hAnsi="Arial" w:cs="Arial"/>
                <w:sz w:val="12"/>
                <w:szCs w:val="12"/>
                <w:lang w:val="es-ES" w:eastAsia="es-ES"/>
              </w:rPr>
              <w:t xml:space="preserve">(bachillerato completo, licenciatura incompleta y grado no específico, técnico comercial con antecedente bachillerato y grados 1-2 y no especificados, normal con antecedente primaria y 3 o más grados, normal con antecedente de secundaria y 3 o más grados, normal con antecedente de bachillerato y 1 a 3 grados, técnico comercial con antecedente de secundaria y 3 o más con grados); </w:t>
            </w:r>
            <w:r w:rsidRPr="006867AC">
              <w:rPr>
                <w:rFonts w:ascii="Arial" w:hAnsi="Arial" w:cs="Arial"/>
                <w:i/>
                <w:sz w:val="12"/>
                <w:szCs w:val="12"/>
                <w:lang w:val="es-ES" w:eastAsia="es-ES"/>
              </w:rPr>
              <w:t xml:space="preserve">superior </w:t>
            </w:r>
            <w:r w:rsidRPr="006867AC">
              <w:rPr>
                <w:rFonts w:ascii="Arial" w:hAnsi="Arial" w:cs="Arial"/>
                <w:sz w:val="12"/>
                <w:szCs w:val="12"/>
                <w:lang w:val="es-ES" w:eastAsia="es-ES"/>
              </w:rPr>
              <w:t>(técnico comercial con an</w:t>
            </w:r>
            <w:r w:rsidR="00FA3BE9" w:rsidRPr="006867AC">
              <w:rPr>
                <w:rFonts w:ascii="Arial" w:hAnsi="Arial" w:cs="Arial"/>
                <w:sz w:val="12"/>
                <w:szCs w:val="12"/>
                <w:lang w:val="es-ES" w:eastAsia="es-ES"/>
              </w:rPr>
              <w:t>tecedente bachillerato y 3 o más</w:t>
            </w:r>
            <w:r w:rsidRPr="006867AC">
              <w:rPr>
                <w:rFonts w:ascii="Arial" w:hAnsi="Arial" w:cs="Arial"/>
                <w:sz w:val="12"/>
                <w:szCs w:val="12"/>
                <w:lang w:val="es-ES" w:eastAsia="es-ES"/>
              </w:rPr>
              <w:t xml:space="preserve"> grados, normal con antecedente bachillerato y 4 o más grados, licenciatura completa, maestría y doctorado incompleto y completo).</w:t>
            </w:r>
          </w:p>
          <w:p w14:paraId="38FB3505" w14:textId="46D7EA52" w:rsidR="003B3E25" w:rsidRPr="006867AC" w:rsidRDefault="005D6FE3" w:rsidP="005D6FE3">
            <w:pPr>
              <w:autoSpaceDE w:val="0"/>
              <w:autoSpaceDN w:val="0"/>
              <w:adjustRightInd w:val="0"/>
              <w:jc w:val="both"/>
              <w:rPr>
                <w:rFonts w:ascii="Arial" w:hAnsi="Arial" w:cs="Arial"/>
                <w:sz w:val="12"/>
                <w:szCs w:val="12"/>
                <w:shd w:val="clear" w:color="auto" w:fill="FFFFFF"/>
              </w:rPr>
            </w:pPr>
            <w:r w:rsidRPr="006867AC">
              <w:rPr>
                <w:rFonts w:ascii="Arial (W1)" w:hAnsi="Arial (W1)" w:cs="Arial"/>
                <w:sz w:val="12"/>
                <w:szCs w:val="12"/>
                <w:shd w:val="clear" w:color="auto" w:fill="FFFFFF"/>
                <w:vertAlign w:val="superscript"/>
              </w:rPr>
              <w:t>3</w:t>
            </w:r>
            <w:r w:rsidRPr="006867AC">
              <w:rPr>
                <w:rFonts w:ascii="Arial" w:hAnsi="Arial" w:cs="Arial"/>
                <w:sz w:val="12"/>
                <w:szCs w:val="12"/>
                <w:shd w:val="clear" w:color="auto" w:fill="FFFFFF"/>
              </w:rPr>
              <w:t xml:space="preserve"> El tamaño de localidad urbana incluye localidades de 15</w:t>
            </w:r>
            <w:r w:rsidR="005C752D" w:rsidRPr="006867AC">
              <w:rPr>
                <w:rFonts w:ascii="Arial" w:hAnsi="Arial" w:cs="Arial"/>
                <w:sz w:val="12"/>
                <w:szCs w:val="12"/>
                <w:shd w:val="clear" w:color="auto" w:fill="FFFFFF"/>
              </w:rPr>
              <w:t xml:space="preserve"> 000</w:t>
            </w:r>
            <w:r w:rsidRPr="006867AC">
              <w:rPr>
                <w:rFonts w:ascii="Arial" w:hAnsi="Arial" w:cs="Arial"/>
                <w:sz w:val="12"/>
                <w:szCs w:val="12"/>
                <w:shd w:val="clear" w:color="auto" w:fill="FFFFFF"/>
              </w:rPr>
              <w:t xml:space="preserve"> o más habitantes; semiurbana, localidades entre 2 500 y menos de 15 </w:t>
            </w:r>
            <w:r w:rsidR="005C752D" w:rsidRPr="006867AC">
              <w:rPr>
                <w:rFonts w:ascii="Arial" w:hAnsi="Arial" w:cs="Arial"/>
                <w:sz w:val="12"/>
                <w:szCs w:val="12"/>
                <w:shd w:val="clear" w:color="auto" w:fill="FFFFFF"/>
              </w:rPr>
              <w:t>000</w:t>
            </w:r>
            <w:r w:rsidRPr="006867AC">
              <w:rPr>
                <w:rFonts w:ascii="Arial" w:hAnsi="Arial" w:cs="Arial"/>
                <w:sz w:val="12"/>
                <w:szCs w:val="12"/>
                <w:shd w:val="clear" w:color="auto" w:fill="FFFFFF"/>
              </w:rPr>
              <w:t xml:space="preserve"> habitantes; rural, localidades con menos de 2 500 habitantes.</w:t>
            </w:r>
          </w:p>
          <w:p w14:paraId="182DC12F" w14:textId="41928A6F" w:rsidR="003B3E25" w:rsidRPr="006867AC" w:rsidRDefault="003B3E25" w:rsidP="00730877">
            <w:pPr>
              <w:autoSpaceDE w:val="0"/>
              <w:autoSpaceDN w:val="0"/>
              <w:adjustRightInd w:val="0"/>
              <w:jc w:val="both"/>
              <w:rPr>
                <w:rFonts w:ascii="Arial" w:hAnsi="Arial" w:cs="Arial"/>
                <w:sz w:val="12"/>
                <w:szCs w:val="12"/>
                <w:shd w:val="clear" w:color="auto" w:fill="FFFFFF"/>
              </w:rPr>
            </w:pPr>
            <w:r w:rsidRPr="006867AC">
              <w:rPr>
                <w:rFonts w:ascii="Arial" w:hAnsi="Arial" w:cs="Arial"/>
                <w:sz w:val="12"/>
                <w:szCs w:val="12"/>
                <w:vertAlign w:val="superscript"/>
              </w:rPr>
              <w:t xml:space="preserve">4 </w:t>
            </w:r>
            <w:r w:rsidRPr="006867AC">
              <w:rPr>
                <w:rFonts w:ascii="Arial" w:hAnsi="Arial" w:cs="Arial"/>
                <w:sz w:val="12"/>
                <w:szCs w:val="12"/>
              </w:rPr>
              <w:t xml:space="preserve">El listado de ciudades se encuentra en el documento </w:t>
            </w:r>
            <w:bookmarkStart w:id="2" w:name="_Hlk6937506"/>
            <w:r w:rsidRPr="006867AC">
              <w:rPr>
                <w:rFonts w:ascii="Arial" w:hAnsi="Arial" w:cs="Arial"/>
                <w:i/>
                <w:sz w:val="12"/>
                <w:szCs w:val="12"/>
              </w:rPr>
              <w:t xml:space="preserve">Cómo se hace la ENOE: Métodos y </w:t>
            </w:r>
            <w:r w:rsidR="00730877" w:rsidRPr="006867AC">
              <w:rPr>
                <w:rFonts w:ascii="Arial" w:hAnsi="Arial" w:cs="Arial"/>
                <w:i/>
                <w:sz w:val="12"/>
                <w:szCs w:val="12"/>
              </w:rPr>
              <w:t>p</w:t>
            </w:r>
            <w:r w:rsidRPr="006867AC">
              <w:rPr>
                <w:rFonts w:ascii="Arial" w:hAnsi="Arial" w:cs="Arial"/>
                <w:i/>
                <w:sz w:val="12"/>
                <w:szCs w:val="12"/>
              </w:rPr>
              <w:t>rocedimientos</w:t>
            </w:r>
            <w:r w:rsidR="007E0B7A" w:rsidRPr="006867AC">
              <w:rPr>
                <w:rFonts w:ascii="Arial" w:hAnsi="Arial" w:cs="Arial"/>
                <w:i/>
                <w:sz w:val="12"/>
                <w:szCs w:val="12"/>
              </w:rPr>
              <w:t xml:space="preserve"> </w:t>
            </w:r>
            <w:r w:rsidR="00906A16" w:rsidRPr="006867AC">
              <w:rPr>
                <w:rFonts w:ascii="Arial" w:hAnsi="Arial" w:cs="Arial"/>
                <w:sz w:val="12"/>
                <w:szCs w:val="12"/>
              </w:rPr>
              <w:t>(</w:t>
            </w:r>
            <w:r w:rsidR="00906A16" w:rsidRPr="00F94BE9">
              <w:rPr>
                <w:rFonts w:ascii="Arial" w:hAnsi="Arial" w:cs="Arial"/>
                <w:caps/>
                <w:sz w:val="12"/>
                <w:szCs w:val="12"/>
              </w:rPr>
              <w:t>Inegi</w:t>
            </w:r>
            <w:r w:rsidR="00906A16" w:rsidRPr="006867AC">
              <w:rPr>
                <w:rFonts w:ascii="Arial" w:hAnsi="Arial" w:cs="Arial"/>
                <w:sz w:val="12"/>
                <w:szCs w:val="12"/>
              </w:rPr>
              <w:t>, 2007)</w:t>
            </w:r>
            <w:r w:rsidR="009D66D5" w:rsidRPr="006867AC">
              <w:rPr>
                <w:rFonts w:ascii="Arial" w:hAnsi="Arial" w:cs="Arial"/>
                <w:sz w:val="12"/>
                <w:szCs w:val="12"/>
              </w:rPr>
              <w:t>.</w:t>
            </w:r>
            <w:bookmarkEnd w:id="2"/>
          </w:p>
        </w:tc>
      </w:tr>
    </w:tbl>
    <w:p w14:paraId="6C1F6065" w14:textId="77777777" w:rsidR="00E0098F" w:rsidRPr="002575C8" w:rsidRDefault="00E0098F" w:rsidP="00E0098F">
      <w:pPr>
        <w:rPr>
          <w:rFonts w:ascii="Arial" w:hAnsi="Arial" w:cs="Arial"/>
          <w:sz w:val="16"/>
          <w:szCs w:val="16"/>
        </w:rPr>
      </w:pPr>
    </w:p>
    <w:p w14:paraId="0AC1E65A" w14:textId="202C7660" w:rsidR="00E0098F" w:rsidRPr="002575C8" w:rsidRDefault="003662C7" w:rsidP="00E0098F">
      <w:pPr>
        <w:rPr>
          <w:rFonts w:ascii="Arial" w:hAnsi="Arial" w:cs="Arial"/>
          <w:sz w:val="16"/>
          <w:szCs w:val="16"/>
        </w:rPr>
      </w:pPr>
      <w:r w:rsidRPr="002575C8">
        <w:rPr>
          <w:rFonts w:ascii="Arial" w:hAnsi="Arial" w:cs="Arial"/>
          <w:noProof/>
          <w:lang w:val="es-419" w:eastAsia="es-419"/>
        </w:rPr>
        <w:lastRenderedPageBreak/>
        <mc:AlternateContent>
          <mc:Choice Requires="wps">
            <w:drawing>
              <wp:anchor distT="0" distB="0" distL="114300" distR="114300" simplePos="0" relativeHeight="251658240" behindDoc="1" locked="0" layoutInCell="1" allowOverlap="1" wp14:anchorId="63C08D8D" wp14:editId="18A1A6FB">
                <wp:simplePos x="0" y="0"/>
                <wp:positionH relativeFrom="page">
                  <wp:posOffset>818982</wp:posOffset>
                </wp:positionH>
                <wp:positionV relativeFrom="paragraph">
                  <wp:posOffset>223784</wp:posOffset>
                </wp:positionV>
                <wp:extent cx="6383020" cy="5056505"/>
                <wp:effectExtent l="0" t="0" r="17780" b="10795"/>
                <wp:wrapSquare wrapText="bothSides"/>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3020" cy="5056505"/>
                        </a:xfrm>
                        <a:prstGeom prst="roundRect">
                          <a:avLst>
                            <a:gd name="adj" fmla="val 6329"/>
                          </a:avLst>
                        </a:prstGeom>
                        <a:solidFill>
                          <a:srgbClr val="FFFFFF"/>
                        </a:solidFill>
                        <a:ln w="9525">
                          <a:solidFill>
                            <a:srgbClr val="000000"/>
                          </a:solidFill>
                          <a:round/>
                          <a:headEnd/>
                          <a:tailEnd/>
                        </a:ln>
                      </wps:spPr>
                      <wps:txbx>
                        <w:txbxContent>
                          <w:p w14:paraId="39A743B7" w14:textId="77777777" w:rsidR="00396B3B" w:rsidRPr="00396B3B" w:rsidRDefault="00396B3B" w:rsidP="00396B3B">
                            <w:pPr>
                              <w:rPr>
                                <w:rFonts w:ascii="Arial" w:hAnsi="Arial" w:cs="Arial"/>
                                <w:b/>
                                <w:sz w:val="18"/>
                                <w:szCs w:val="16"/>
                              </w:rPr>
                            </w:pPr>
                            <w:r w:rsidRPr="00396B3B">
                              <w:rPr>
                                <w:rFonts w:ascii="Arial" w:hAnsi="Arial" w:cs="Arial"/>
                                <w:b/>
                                <w:sz w:val="18"/>
                                <w:szCs w:val="16"/>
                              </w:rPr>
                              <w:t>Referente de evaluación</w:t>
                            </w:r>
                          </w:p>
                          <w:p w14:paraId="60DD850B" w14:textId="77777777" w:rsidR="00396B3B" w:rsidRDefault="00396B3B" w:rsidP="00396B3B">
                            <w:pPr>
                              <w:jc w:val="both"/>
                              <w:rPr>
                                <w:rFonts w:ascii="Arial" w:hAnsi="Arial" w:cs="Arial"/>
                                <w:sz w:val="16"/>
                                <w:szCs w:val="16"/>
                              </w:rPr>
                            </w:pPr>
                          </w:p>
                          <w:p w14:paraId="2D45CE5D" w14:textId="1839AD1C" w:rsidR="00396B3B" w:rsidRPr="00396B3B" w:rsidRDefault="00396B3B" w:rsidP="00396B3B">
                            <w:pPr>
                              <w:jc w:val="both"/>
                              <w:rPr>
                                <w:rFonts w:ascii="Arial" w:hAnsi="Arial" w:cs="Arial"/>
                                <w:sz w:val="16"/>
                                <w:szCs w:val="16"/>
                              </w:rPr>
                            </w:pPr>
                            <w:r w:rsidRPr="00396B3B">
                              <w:rPr>
                                <w:rFonts w:ascii="Arial" w:hAnsi="Arial" w:cs="Arial"/>
                                <w:sz w:val="16"/>
                                <w:szCs w:val="16"/>
                              </w:rPr>
                              <w:t>Para el caso de los jóvenes s</w:t>
                            </w:r>
                            <w:r w:rsidR="0051633C">
                              <w:rPr>
                                <w:rFonts w:ascii="Arial" w:hAnsi="Arial" w:cs="Arial"/>
                                <w:sz w:val="16"/>
                                <w:szCs w:val="16"/>
                              </w:rPr>
                              <w:t>e</w:t>
                            </w:r>
                            <w:r w:rsidRPr="00396B3B">
                              <w:rPr>
                                <w:rFonts w:ascii="Arial" w:hAnsi="Arial" w:cs="Arial"/>
                                <w:sz w:val="16"/>
                                <w:szCs w:val="16"/>
                              </w:rPr>
                              <w:t xml:space="preserve"> espera que las tasas de ocupación en las escolaridades por debajo de básica se acerquen a cero conforme </w:t>
                            </w:r>
                            <w:r w:rsidR="00B37048">
                              <w:rPr>
                                <w:rFonts w:ascii="Arial" w:hAnsi="Arial" w:cs="Arial"/>
                                <w:sz w:val="16"/>
                                <w:szCs w:val="16"/>
                              </w:rPr>
                              <w:t>e</w:t>
                            </w:r>
                            <w:r w:rsidRPr="00396B3B">
                              <w:rPr>
                                <w:rFonts w:ascii="Arial" w:hAnsi="Arial" w:cs="Arial"/>
                                <w:sz w:val="16"/>
                                <w:szCs w:val="16"/>
                              </w:rPr>
                              <w:t xml:space="preserve">sta población se aproxime más al pleno ejercicio de su derecho a la educación básica, </w:t>
                            </w:r>
                            <w:r w:rsidR="00B350E7">
                              <w:rPr>
                                <w:rFonts w:ascii="Arial" w:hAnsi="Arial" w:cs="Arial"/>
                                <w:sz w:val="16"/>
                                <w:szCs w:val="16"/>
                              </w:rPr>
                              <w:t>reconocido</w:t>
                            </w:r>
                            <w:r w:rsidR="00B350E7" w:rsidRPr="00396B3B">
                              <w:rPr>
                                <w:rFonts w:ascii="Arial" w:hAnsi="Arial" w:cs="Arial"/>
                                <w:sz w:val="16"/>
                                <w:szCs w:val="16"/>
                              </w:rPr>
                              <w:t xml:space="preserve"> </w:t>
                            </w:r>
                            <w:r w:rsidRPr="00396B3B">
                              <w:rPr>
                                <w:rFonts w:ascii="Arial" w:hAnsi="Arial" w:cs="Arial"/>
                                <w:sz w:val="16"/>
                                <w:szCs w:val="16"/>
                              </w:rPr>
                              <w:t>en la C</w:t>
                            </w:r>
                            <w:r w:rsidR="00B350E7" w:rsidRPr="00F36639">
                              <w:rPr>
                                <w:rFonts w:ascii="Arial" w:hAnsi="Arial" w:cs="Arial"/>
                                <w:sz w:val="16"/>
                                <w:szCs w:val="16"/>
                              </w:rPr>
                              <w:t>PEUM</w:t>
                            </w:r>
                            <w:r w:rsidR="00B350E7" w:rsidRPr="00396B3B">
                              <w:rPr>
                                <w:rFonts w:ascii="Arial" w:hAnsi="Arial" w:cs="Arial"/>
                                <w:i/>
                                <w:sz w:val="16"/>
                                <w:szCs w:val="16"/>
                              </w:rPr>
                              <w:t xml:space="preserve"> </w:t>
                            </w:r>
                            <w:r w:rsidRPr="00396B3B">
                              <w:rPr>
                                <w:rFonts w:ascii="Arial" w:hAnsi="Arial" w:cs="Arial"/>
                                <w:sz w:val="16"/>
                                <w:szCs w:val="16"/>
                              </w:rPr>
                              <w:t xml:space="preserve">y </w:t>
                            </w:r>
                            <w:r w:rsidR="00DD63D9">
                              <w:rPr>
                                <w:rFonts w:ascii="Arial" w:hAnsi="Arial" w:cs="Arial"/>
                                <w:sz w:val="16"/>
                                <w:szCs w:val="16"/>
                                <w:lang w:val="es-419"/>
                              </w:rPr>
                              <w:t xml:space="preserve">en </w:t>
                            </w:r>
                            <w:r w:rsidRPr="00396B3B">
                              <w:rPr>
                                <w:rFonts w:ascii="Arial" w:hAnsi="Arial" w:cs="Arial"/>
                                <w:sz w:val="16"/>
                                <w:szCs w:val="16"/>
                              </w:rPr>
                              <w:t>la LGE.</w:t>
                            </w:r>
                          </w:p>
                          <w:p w14:paraId="6A0A97AE" w14:textId="77777777" w:rsidR="00396B3B" w:rsidRPr="00396B3B" w:rsidRDefault="00396B3B" w:rsidP="00396B3B">
                            <w:pPr>
                              <w:jc w:val="both"/>
                              <w:rPr>
                                <w:rFonts w:ascii="Arial" w:hAnsi="Arial" w:cs="Arial"/>
                                <w:sz w:val="16"/>
                                <w:szCs w:val="16"/>
                              </w:rPr>
                            </w:pPr>
                          </w:p>
                          <w:p w14:paraId="3369DC82" w14:textId="3A73EE19" w:rsidR="00396B3B" w:rsidRPr="00396B3B" w:rsidRDefault="00396B3B" w:rsidP="00396B3B">
                            <w:pPr>
                              <w:jc w:val="both"/>
                              <w:rPr>
                                <w:rFonts w:ascii="Arial" w:hAnsi="Arial" w:cs="Arial"/>
                                <w:sz w:val="16"/>
                                <w:szCs w:val="16"/>
                              </w:rPr>
                            </w:pPr>
                            <w:r w:rsidRPr="009A5D90">
                              <w:rPr>
                                <w:rFonts w:ascii="Arial" w:hAnsi="Arial" w:cs="Arial"/>
                                <w:sz w:val="16"/>
                                <w:szCs w:val="16"/>
                              </w:rPr>
                              <w:t xml:space="preserve">Ver artículo </w:t>
                            </w:r>
                            <w:r w:rsidRPr="00F52D63">
                              <w:rPr>
                                <w:rFonts w:ascii="Arial" w:hAnsi="Arial" w:cs="Arial"/>
                                <w:sz w:val="16"/>
                                <w:szCs w:val="16"/>
                              </w:rPr>
                              <w:t>3º</w:t>
                            </w:r>
                            <w:r w:rsidRPr="00F52D63">
                              <w:rPr>
                                <w:rFonts w:ascii="Arial" w:hAnsi="Arial" w:cs="Arial"/>
                                <w:b/>
                                <w:sz w:val="16"/>
                                <w:szCs w:val="16"/>
                              </w:rPr>
                              <w:t xml:space="preserve"> </w:t>
                            </w:r>
                            <w:r w:rsidRPr="00F52D63">
                              <w:rPr>
                                <w:rFonts w:ascii="Arial" w:hAnsi="Arial" w:cs="Arial"/>
                                <w:sz w:val="16"/>
                                <w:szCs w:val="16"/>
                              </w:rPr>
                              <w:t>de</w:t>
                            </w:r>
                            <w:r w:rsidRPr="009A5D90">
                              <w:rPr>
                                <w:rFonts w:ascii="Arial" w:hAnsi="Arial" w:cs="Arial"/>
                                <w:sz w:val="16"/>
                                <w:szCs w:val="16"/>
                              </w:rPr>
                              <w:t xml:space="preserve"> la</w:t>
                            </w:r>
                            <w:r w:rsidRPr="00396B3B">
                              <w:rPr>
                                <w:rFonts w:ascii="Arial" w:hAnsi="Arial" w:cs="Arial"/>
                                <w:sz w:val="16"/>
                                <w:szCs w:val="16"/>
                              </w:rPr>
                              <w:t xml:space="preserve"> </w:t>
                            </w:r>
                            <w:r w:rsidR="004E2338" w:rsidRPr="00242F66">
                              <w:rPr>
                                <w:rFonts w:ascii="Arial" w:hAnsi="Arial" w:cs="Arial"/>
                                <w:sz w:val="16"/>
                                <w:szCs w:val="16"/>
                              </w:rPr>
                              <w:t xml:space="preserve">CPEUM </w:t>
                            </w:r>
                            <w:r w:rsidR="0051633C">
                              <w:rPr>
                                <w:rFonts w:ascii="Arial" w:hAnsi="Arial" w:cs="Arial"/>
                                <w:sz w:val="16"/>
                                <w:szCs w:val="16"/>
                              </w:rPr>
                              <w:t>(</w:t>
                            </w:r>
                            <w:r w:rsidR="004E2338" w:rsidRPr="00242F66">
                              <w:rPr>
                                <w:rFonts w:ascii="Arial" w:hAnsi="Arial" w:cs="Arial"/>
                                <w:sz w:val="16"/>
                                <w:szCs w:val="16"/>
                              </w:rPr>
                              <w:t>201</w:t>
                            </w:r>
                            <w:r w:rsidR="0051633C">
                              <w:rPr>
                                <w:rFonts w:ascii="Arial" w:hAnsi="Arial" w:cs="Arial"/>
                                <w:sz w:val="16"/>
                                <w:szCs w:val="16"/>
                              </w:rPr>
                              <w:t>8</w:t>
                            </w:r>
                            <w:r w:rsidR="002B6C1B" w:rsidRPr="00242F66">
                              <w:rPr>
                                <w:rFonts w:ascii="Arial" w:hAnsi="Arial" w:cs="Arial"/>
                                <w:sz w:val="16"/>
                                <w:szCs w:val="16"/>
                              </w:rPr>
                              <w:t xml:space="preserve">, </w:t>
                            </w:r>
                            <w:r w:rsidR="0051633C">
                              <w:rPr>
                                <w:rFonts w:ascii="Arial" w:hAnsi="Arial" w:cs="Arial"/>
                                <w:sz w:val="16"/>
                                <w:szCs w:val="16"/>
                              </w:rPr>
                              <w:t>27</w:t>
                            </w:r>
                            <w:r w:rsidR="002B6C1B" w:rsidRPr="00242F66">
                              <w:rPr>
                                <w:rFonts w:ascii="Arial" w:hAnsi="Arial" w:cs="Arial"/>
                                <w:sz w:val="16"/>
                                <w:szCs w:val="16"/>
                              </w:rPr>
                              <w:t xml:space="preserve"> de</w:t>
                            </w:r>
                            <w:r w:rsidR="00242F66" w:rsidRPr="00242F66">
                              <w:rPr>
                                <w:rFonts w:ascii="Arial" w:hAnsi="Arial" w:cs="Arial"/>
                                <w:sz w:val="16"/>
                                <w:szCs w:val="16"/>
                              </w:rPr>
                              <w:t xml:space="preserve"> </w:t>
                            </w:r>
                            <w:r w:rsidR="0051633C">
                              <w:rPr>
                                <w:rFonts w:ascii="Arial" w:hAnsi="Arial" w:cs="Arial"/>
                                <w:sz w:val="16"/>
                                <w:szCs w:val="16"/>
                              </w:rPr>
                              <w:t>agosto</w:t>
                            </w:r>
                            <w:r w:rsidRPr="00242F66">
                              <w:rPr>
                                <w:rFonts w:ascii="Arial" w:hAnsi="Arial" w:cs="Arial"/>
                                <w:sz w:val="16"/>
                                <w:szCs w:val="16"/>
                              </w:rPr>
                              <w:t>)</w:t>
                            </w:r>
                            <w:r w:rsidR="0051633C">
                              <w:rPr>
                                <w:rFonts w:ascii="Arial" w:hAnsi="Arial" w:cs="Arial"/>
                                <w:sz w:val="16"/>
                                <w:szCs w:val="16"/>
                              </w:rPr>
                              <w:t>,</w:t>
                            </w:r>
                            <w:r>
                              <w:rPr>
                                <w:rFonts w:ascii="Arial" w:hAnsi="Arial" w:cs="Arial"/>
                                <w:sz w:val="16"/>
                                <w:szCs w:val="16"/>
                              </w:rPr>
                              <w:t xml:space="preserve"> y a</w:t>
                            </w:r>
                            <w:r w:rsidRPr="00396B3B">
                              <w:rPr>
                                <w:rFonts w:ascii="Arial" w:hAnsi="Arial" w:cs="Arial"/>
                                <w:sz w:val="16"/>
                                <w:szCs w:val="16"/>
                              </w:rPr>
                              <w:t>rtículo</w:t>
                            </w:r>
                            <w:r w:rsidR="0051633C">
                              <w:rPr>
                                <w:rFonts w:ascii="Arial" w:hAnsi="Arial" w:cs="Arial"/>
                                <w:sz w:val="16"/>
                                <w:szCs w:val="16"/>
                              </w:rPr>
                              <w:t>s</w:t>
                            </w:r>
                            <w:r w:rsidRPr="00396B3B">
                              <w:rPr>
                                <w:rFonts w:ascii="Arial" w:hAnsi="Arial" w:cs="Arial"/>
                                <w:sz w:val="16"/>
                                <w:szCs w:val="16"/>
                              </w:rPr>
                              <w:t xml:space="preserve"> 4º y 8º</w:t>
                            </w:r>
                            <w:r w:rsidR="0051633C">
                              <w:rPr>
                                <w:rFonts w:ascii="Arial" w:hAnsi="Arial" w:cs="Arial"/>
                                <w:sz w:val="16"/>
                                <w:szCs w:val="16"/>
                              </w:rPr>
                              <w:t>,</w:t>
                            </w:r>
                            <w:r w:rsidRPr="00396B3B">
                              <w:rPr>
                                <w:rFonts w:ascii="Arial" w:hAnsi="Arial" w:cs="Arial"/>
                                <w:sz w:val="16"/>
                                <w:szCs w:val="16"/>
                              </w:rPr>
                              <w:t xml:space="preserve"> fracción I</w:t>
                            </w:r>
                            <w:r w:rsidR="0051633C">
                              <w:rPr>
                                <w:rFonts w:ascii="Arial" w:hAnsi="Arial" w:cs="Arial"/>
                                <w:sz w:val="16"/>
                                <w:szCs w:val="16"/>
                              </w:rPr>
                              <w:t>,</w:t>
                            </w:r>
                            <w:r w:rsidRPr="00396B3B">
                              <w:rPr>
                                <w:rFonts w:ascii="Arial" w:hAnsi="Arial" w:cs="Arial"/>
                                <w:sz w:val="16"/>
                                <w:szCs w:val="16"/>
                              </w:rPr>
                              <w:t xml:space="preserve"> de la </w:t>
                            </w:r>
                            <w:r w:rsidR="004E2338" w:rsidRPr="00242F66">
                              <w:rPr>
                                <w:rFonts w:ascii="Arial" w:hAnsi="Arial" w:cs="Arial"/>
                                <w:sz w:val="16"/>
                                <w:szCs w:val="16"/>
                              </w:rPr>
                              <w:t>LGE</w:t>
                            </w:r>
                            <w:r w:rsidR="0051633C">
                              <w:rPr>
                                <w:rFonts w:ascii="Arial" w:hAnsi="Arial" w:cs="Arial"/>
                                <w:sz w:val="16"/>
                                <w:szCs w:val="16"/>
                              </w:rPr>
                              <w:t xml:space="preserve"> (</w:t>
                            </w:r>
                            <w:r w:rsidR="00242F66" w:rsidRPr="00242F66">
                              <w:rPr>
                                <w:rFonts w:ascii="Arial" w:hAnsi="Arial" w:cs="Arial"/>
                                <w:sz w:val="16"/>
                                <w:szCs w:val="16"/>
                              </w:rPr>
                              <w:t>201</w:t>
                            </w:r>
                            <w:r w:rsidR="0051633C">
                              <w:rPr>
                                <w:rFonts w:ascii="Arial" w:hAnsi="Arial" w:cs="Arial"/>
                                <w:sz w:val="16"/>
                                <w:szCs w:val="16"/>
                              </w:rPr>
                              <w:t>8</w:t>
                            </w:r>
                            <w:r w:rsidRPr="00242F66">
                              <w:rPr>
                                <w:rFonts w:ascii="Arial" w:hAnsi="Arial" w:cs="Arial"/>
                                <w:sz w:val="16"/>
                                <w:szCs w:val="16"/>
                              </w:rPr>
                              <w:t>,</w:t>
                            </w:r>
                            <w:r w:rsidR="00CB41C7" w:rsidRPr="00242F66">
                              <w:rPr>
                                <w:rFonts w:ascii="Arial" w:hAnsi="Arial" w:cs="Arial"/>
                                <w:sz w:val="16"/>
                                <w:szCs w:val="16"/>
                              </w:rPr>
                              <w:t xml:space="preserve"> </w:t>
                            </w:r>
                            <w:r w:rsidR="0051633C">
                              <w:rPr>
                                <w:rFonts w:ascii="Arial" w:hAnsi="Arial" w:cs="Arial"/>
                                <w:sz w:val="16"/>
                                <w:szCs w:val="16"/>
                              </w:rPr>
                              <w:t>19</w:t>
                            </w:r>
                            <w:r w:rsidR="0051633C" w:rsidRPr="00242F66">
                              <w:rPr>
                                <w:rFonts w:ascii="Arial" w:hAnsi="Arial" w:cs="Arial"/>
                                <w:sz w:val="16"/>
                                <w:szCs w:val="16"/>
                              </w:rPr>
                              <w:t xml:space="preserve"> </w:t>
                            </w:r>
                            <w:r w:rsidR="00CB41C7" w:rsidRPr="00242F66">
                              <w:rPr>
                                <w:rFonts w:ascii="Arial" w:hAnsi="Arial" w:cs="Arial"/>
                                <w:sz w:val="16"/>
                                <w:szCs w:val="16"/>
                              </w:rPr>
                              <w:t xml:space="preserve">de </w:t>
                            </w:r>
                            <w:r w:rsidR="0051633C">
                              <w:rPr>
                                <w:rFonts w:ascii="Arial" w:hAnsi="Arial" w:cs="Arial"/>
                                <w:sz w:val="16"/>
                                <w:szCs w:val="16"/>
                              </w:rPr>
                              <w:t>enero</w:t>
                            </w:r>
                            <w:r w:rsidRPr="00242F66">
                              <w:rPr>
                                <w:rFonts w:ascii="Arial" w:hAnsi="Arial" w:cs="Arial"/>
                                <w:sz w:val="16"/>
                                <w:szCs w:val="16"/>
                              </w:rPr>
                              <w:t>).</w:t>
                            </w:r>
                          </w:p>
                          <w:p w14:paraId="7F3D2916" w14:textId="77777777" w:rsidR="00396B3B" w:rsidRPr="00396B3B" w:rsidRDefault="00396B3B" w:rsidP="00396B3B">
                            <w:pPr>
                              <w:jc w:val="both"/>
                              <w:rPr>
                                <w:rFonts w:ascii="Arial" w:hAnsi="Arial" w:cs="Arial"/>
                                <w:sz w:val="16"/>
                                <w:szCs w:val="16"/>
                              </w:rPr>
                            </w:pPr>
                          </w:p>
                          <w:p w14:paraId="685E243B" w14:textId="5332C63D" w:rsidR="00396B3B" w:rsidRDefault="00396B3B" w:rsidP="00396B3B">
                            <w:pPr>
                              <w:rPr>
                                <w:rFonts w:ascii="Arial" w:hAnsi="Arial" w:cs="Arial"/>
                                <w:b/>
                                <w:sz w:val="18"/>
                                <w:szCs w:val="16"/>
                              </w:rPr>
                            </w:pPr>
                            <w:r w:rsidRPr="00396B3B">
                              <w:rPr>
                                <w:rFonts w:ascii="Arial" w:hAnsi="Arial" w:cs="Arial"/>
                                <w:b/>
                                <w:sz w:val="18"/>
                                <w:szCs w:val="16"/>
                              </w:rPr>
                              <w:t>Información de referencia</w:t>
                            </w:r>
                          </w:p>
                          <w:p w14:paraId="5DEBE4F4" w14:textId="3DBB59D4" w:rsidR="009E2073" w:rsidRDefault="009E2073" w:rsidP="00396B3B">
                            <w:pPr>
                              <w:rPr>
                                <w:rFonts w:ascii="Arial" w:hAnsi="Arial" w:cs="Arial"/>
                                <w:b/>
                                <w:sz w:val="18"/>
                                <w:szCs w:val="16"/>
                              </w:rPr>
                            </w:pPr>
                          </w:p>
                          <w:p w14:paraId="7D5C2FDD" w14:textId="33746026" w:rsidR="009E2073" w:rsidRDefault="009E2073" w:rsidP="00396B3B">
                            <w:r>
                              <w:rPr>
                                <w:sz w:val="18"/>
                              </w:rPr>
                              <w:fldChar w:fldCharType="begin"/>
                            </w:r>
                            <w:r>
                              <w:rPr>
                                <w:sz w:val="18"/>
                              </w:rPr>
                              <w:instrText xml:space="preserve"> LINK Excel.Sheet.12 "Libro2" "Hoja1!F3C1:F15C5" \a \f 4 \h  \* MERGEFORMAT </w:instrText>
                            </w:r>
                            <w:r>
                              <w:rPr>
                                <w:sz w:val="18"/>
                              </w:rPr>
                              <w:fldChar w:fldCharType="separate"/>
                            </w:r>
                          </w:p>
                          <w:tbl>
                            <w:tblPr>
                              <w:tblW w:w="9356" w:type="dxa"/>
                              <w:tblCellMar>
                                <w:left w:w="70" w:type="dxa"/>
                                <w:right w:w="70" w:type="dxa"/>
                              </w:tblCellMar>
                              <w:tblLook w:val="04A0" w:firstRow="1" w:lastRow="0" w:firstColumn="1" w:lastColumn="0" w:noHBand="0" w:noVBand="1"/>
                            </w:tblPr>
                            <w:tblGrid>
                              <w:gridCol w:w="2835"/>
                              <w:gridCol w:w="2127"/>
                              <w:gridCol w:w="1417"/>
                              <w:gridCol w:w="1418"/>
                              <w:gridCol w:w="1559"/>
                            </w:tblGrid>
                            <w:tr w:rsidR="009E2073" w:rsidRPr="009E2073" w14:paraId="6C45CFA9" w14:textId="77777777" w:rsidTr="00DD6052">
                              <w:trPr>
                                <w:trHeight w:val="450"/>
                              </w:trPr>
                              <w:tc>
                                <w:tcPr>
                                  <w:tcW w:w="9356" w:type="dxa"/>
                                  <w:gridSpan w:val="5"/>
                                  <w:tcBorders>
                                    <w:top w:val="single" w:sz="8" w:space="0" w:color="auto"/>
                                    <w:left w:val="nil"/>
                                    <w:bottom w:val="single" w:sz="4" w:space="0" w:color="auto"/>
                                    <w:right w:val="nil"/>
                                  </w:tcBorders>
                                  <w:shd w:val="clear" w:color="auto" w:fill="auto"/>
                                  <w:vAlign w:val="center"/>
                                  <w:hideMark/>
                                </w:tcPr>
                                <w:p w14:paraId="43569959" w14:textId="0C82196A"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Tasa de ocupación de la población entre 25 y 64 años por país seleccionado</w:t>
                                  </w:r>
                                  <w:r w:rsidR="0051633C">
                                    <w:rPr>
                                      <w:rFonts w:ascii="Arial" w:hAnsi="Arial" w:cs="Arial"/>
                                      <w:b/>
                                      <w:bCs/>
                                      <w:color w:val="000000"/>
                                      <w:sz w:val="16"/>
                                      <w:szCs w:val="16"/>
                                    </w:rPr>
                                    <w:t xml:space="preserve"> </w:t>
                                  </w:r>
                                  <w:r w:rsidR="00DD6052">
                                    <w:rPr>
                                      <w:rFonts w:ascii="Arial" w:hAnsi="Arial" w:cs="Arial"/>
                                      <w:b/>
                                      <w:bCs/>
                                      <w:color w:val="000000"/>
                                      <w:sz w:val="16"/>
                                      <w:szCs w:val="16"/>
                                    </w:rPr>
                                    <w:t>según nivel de escolaridad (2017</w:t>
                                  </w:r>
                                  <w:r w:rsidRPr="009E2073">
                                    <w:rPr>
                                      <w:rFonts w:ascii="Arial" w:hAnsi="Arial" w:cs="Arial"/>
                                      <w:b/>
                                      <w:bCs/>
                                      <w:color w:val="000000"/>
                                      <w:sz w:val="16"/>
                                      <w:szCs w:val="16"/>
                                    </w:rPr>
                                    <w:t>)</w:t>
                                  </w:r>
                                </w:p>
                              </w:tc>
                            </w:tr>
                            <w:tr w:rsidR="009E2073" w:rsidRPr="009E2073" w14:paraId="569A1196" w14:textId="77777777" w:rsidTr="00DD6052">
                              <w:trPr>
                                <w:trHeight w:val="315"/>
                              </w:trPr>
                              <w:tc>
                                <w:tcPr>
                                  <w:tcW w:w="2835" w:type="dxa"/>
                                  <w:vMerge w:val="restart"/>
                                  <w:tcBorders>
                                    <w:top w:val="single" w:sz="4" w:space="0" w:color="auto"/>
                                    <w:left w:val="nil"/>
                                    <w:bottom w:val="nil"/>
                                    <w:right w:val="nil"/>
                                  </w:tcBorders>
                                  <w:shd w:val="clear" w:color="000000" w:fill="FFFFFF"/>
                                  <w:vAlign w:val="center"/>
                                  <w:hideMark/>
                                </w:tcPr>
                                <w:p w14:paraId="4D3C688D"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País</w:t>
                                  </w:r>
                                </w:p>
                              </w:tc>
                              <w:tc>
                                <w:tcPr>
                                  <w:tcW w:w="6521" w:type="dxa"/>
                                  <w:gridSpan w:val="4"/>
                                  <w:tcBorders>
                                    <w:top w:val="single" w:sz="4" w:space="0" w:color="auto"/>
                                    <w:left w:val="nil"/>
                                    <w:bottom w:val="single" w:sz="8" w:space="0" w:color="auto"/>
                                    <w:right w:val="nil"/>
                                  </w:tcBorders>
                                  <w:shd w:val="clear" w:color="000000" w:fill="FFFFFF"/>
                                  <w:vAlign w:val="center"/>
                                  <w:hideMark/>
                                </w:tcPr>
                                <w:p w14:paraId="2183C144"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Nivel de escolaridad</w:t>
                                  </w:r>
                                </w:p>
                              </w:tc>
                            </w:tr>
                            <w:tr w:rsidR="009E2073" w:rsidRPr="009E2073" w14:paraId="5178E791" w14:textId="77777777" w:rsidTr="009E2073">
                              <w:trPr>
                                <w:trHeight w:val="675"/>
                              </w:trPr>
                              <w:tc>
                                <w:tcPr>
                                  <w:tcW w:w="2835" w:type="dxa"/>
                                  <w:vMerge/>
                                  <w:tcBorders>
                                    <w:top w:val="nil"/>
                                    <w:left w:val="nil"/>
                                    <w:bottom w:val="nil"/>
                                    <w:right w:val="nil"/>
                                  </w:tcBorders>
                                  <w:vAlign w:val="center"/>
                                  <w:hideMark/>
                                </w:tcPr>
                                <w:p w14:paraId="6FA1970F" w14:textId="77777777" w:rsidR="009E2073" w:rsidRPr="009E2073" w:rsidRDefault="009E2073" w:rsidP="009E2073">
                                  <w:pPr>
                                    <w:rPr>
                                      <w:rFonts w:ascii="Arial" w:hAnsi="Arial" w:cs="Arial"/>
                                      <w:b/>
                                      <w:bCs/>
                                      <w:color w:val="000000"/>
                                      <w:sz w:val="16"/>
                                      <w:szCs w:val="16"/>
                                    </w:rPr>
                                  </w:pPr>
                                </w:p>
                              </w:tc>
                              <w:tc>
                                <w:tcPr>
                                  <w:tcW w:w="2127" w:type="dxa"/>
                                  <w:tcBorders>
                                    <w:top w:val="nil"/>
                                    <w:left w:val="nil"/>
                                    <w:bottom w:val="nil"/>
                                    <w:right w:val="nil"/>
                                  </w:tcBorders>
                                  <w:shd w:val="clear" w:color="000000" w:fill="FFFFFF"/>
                                  <w:vAlign w:val="center"/>
                                  <w:hideMark/>
                                </w:tcPr>
                                <w:p w14:paraId="252D060C" w14:textId="7615B34C"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 xml:space="preserve">Menos que </w:t>
                                  </w:r>
                                  <w:r w:rsidR="0051633C">
                                    <w:rPr>
                                      <w:rFonts w:ascii="Arial" w:hAnsi="Arial" w:cs="Arial"/>
                                      <w:b/>
                                      <w:bCs/>
                                      <w:color w:val="000000"/>
                                      <w:sz w:val="16"/>
                                      <w:szCs w:val="16"/>
                                    </w:rPr>
                                    <w:t>m</w:t>
                                  </w:r>
                                  <w:r w:rsidRPr="009E2073">
                                    <w:rPr>
                                      <w:rFonts w:ascii="Arial" w:hAnsi="Arial" w:cs="Arial"/>
                                      <w:b/>
                                      <w:bCs/>
                                      <w:color w:val="000000"/>
                                      <w:sz w:val="16"/>
                                      <w:szCs w:val="16"/>
                                    </w:rPr>
                                    <w:t>edia superior</w:t>
                                  </w:r>
                                </w:p>
                              </w:tc>
                              <w:tc>
                                <w:tcPr>
                                  <w:tcW w:w="1417" w:type="dxa"/>
                                  <w:tcBorders>
                                    <w:top w:val="nil"/>
                                    <w:left w:val="nil"/>
                                    <w:bottom w:val="nil"/>
                                    <w:right w:val="nil"/>
                                  </w:tcBorders>
                                  <w:shd w:val="clear" w:color="000000" w:fill="FFFFFF"/>
                                  <w:vAlign w:val="center"/>
                                  <w:hideMark/>
                                </w:tcPr>
                                <w:p w14:paraId="4B4DCDE7"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Media superior</w:t>
                                  </w:r>
                                  <w:r w:rsidRPr="009E2073">
                                    <w:rPr>
                                      <w:rFonts w:ascii="Arial" w:hAnsi="Arial" w:cs="Arial"/>
                                      <w:b/>
                                      <w:bCs/>
                                      <w:color w:val="000000"/>
                                      <w:sz w:val="16"/>
                                      <w:szCs w:val="16"/>
                                      <w:vertAlign w:val="superscript"/>
                                    </w:rPr>
                                    <w:t>1</w:t>
                                  </w:r>
                                </w:p>
                              </w:tc>
                              <w:tc>
                                <w:tcPr>
                                  <w:tcW w:w="1418" w:type="dxa"/>
                                  <w:tcBorders>
                                    <w:top w:val="nil"/>
                                    <w:left w:val="nil"/>
                                    <w:bottom w:val="nil"/>
                                    <w:right w:val="nil"/>
                                  </w:tcBorders>
                                  <w:shd w:val="clear" w:color="000000" w:fill="FFFFFF"/>
                                  <w:vAlign w:val="center"/>
                                  <w:hideMark/>
                                </w:tcPr>
                                <w:p w14:paraId="02E10511"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Superior</w:t>
                                  </w:r>
                                  <w:r w:rsidRPr="009E2073">
                                    <w:rPr>
                                      <w:rFonts w:ascii="Arial" w:hAnsi="Arial" w:cs="Arial"/>
                                      <w:b/>
                                      <w:bCs/>
                                      <w:color w:val="000000"/>
                                      <w:sz w:val="16"/>
                                      <w:szCs w:val="16"/>
                                      <w:vertAlign w:val="superscript"/>
                                    </w:rPr>
                                    <w:t>2</w:t>
                                  </w:r>
                                </w:p>
                              </w:tc>
                              <w:tc>
                                <w:tcPr>
                                  <w:tcW w:w="1559" w:type="dxa"/>
                                  <w:tcBorders>
                                    <w:top w:val="nil"/>
                                    <w:left w:val="nil"/>
                                    <w:bottom w:val="nil"/>
                                    <w:right w:val="nil"/>
                                  </w:tcBorders>
                                  <w:shd w:val="clear" w:color="000000" w:fill="FFFFFF"/>
                                  <w:vAlign w:val="center"/>
                                  <w:hideMark/>
                                </w:tcPr>
                                <w:p w14:paraId="0D8C111B"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Todos los niveles</w:t>
                                  </w:r>
                                </w:p>
                              </w:tc>
                            </w:tr>
                            <w:tr w:rsidR="009E2073" w:rsidRPr="009E2073" w14:paraId="5711696C" w14:textId="77777777" w:rsidTr="009E2073">
                              <w:trPr>
                                <w:trHeight w:val="300"/>
                              </w:trPr>
                              <w:tc>
                                <w:tcPr>
                                  <w:tcW w:w="2835" w:type="dxa"/>
                                  <w:tcBorders>
                                    <w:top w:val="nil"/>
                                    <w:left w:val="nil"/>
                                    <w:bottom w:val="nil"/>
                                    <w:right w:val="nil"/>
                                  </w:tcBorders>
                                  <w:shd w:val="clear" w:color="000000" w:fill="FFFFFF"/>
                                  <w:vAlign w:val="center"/>
                                  <w:hideMark/>
                                </w:tcPr>
                                <w:p w14:paraId="26587D58"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Canadá</w:t>
                                  </w:r>
                                </w:p>
                              </w:tc>
                              <w:tc>
                                <w:tcPr>
                                  <w:tcW w:w="2127" w:type="dxa"/>
                                  <w:tcBorders>
                                    <w:top w:val="nil"/>
                                    <w:left w:val="nil"/>
                                    <w:bottom w:val="nil"/>
                                    <w:right w:val="nil"/>
                                  </w:tcBorders>
                                  <w:shd w:val="clear" w:color="auto" w:fill="auto"/>
                                  <w:noWrap/>
                                  <w:vAlign w:val="center"/>
                                </w:tcPr>
                                <w:p w14:paraId="2BCD6061" w14:textId="28A8BB06" w:rsidR="009E2073" w:rsidRPr="009E2073" w:rsidRDefault="009E2073" w:rsidP="009E2073">
                                  <w:pPr>
                                    <w:jc w:val="center"/>
                                    <w:rPr>
                                      <w:rFonts w:ascii="Arial" w:hAnsi="Arial" w:cs="Arial"/>
                                      <w:color w:val="000000"/>
                                      <w:sz w:val="16"/>
                                      <w:szCs w:val="16"/>
                                    </w:rPr>
                                  </w:pPr>
                                  <w:r>
                                    <w:rPr>
                                      <w:rFonts w:ascii="Arial" w:hAnsi="Arial" w:cs="Arial"/>
                                      <w:color w:val="000000"/>
                                      <w:sz w:val="16"/>
                                      <w:szCs w:val="16"/>
                                    </w:rPr>
                                    <w:t>55</w:t>
                                  </w:r>
                                  <w:r w:rsidR="00DD6052">
                                    <w:rPr>
                                      <w:rFonts w:ascii="Arial" w:hAnsi="Arial" w:cs="Arial"/>
                                      <w:color w:val="000000"/>
                                      <w:sz w:val="16"/>
                                      <w:szCs w:val="16"/>
                                    </w:rPr>
                                    <w:t>.8</w:t>
                                  </w:r>
                                </w:p>
                              </w:tc>
                              <w:tc>
                                <w:tcPr>
                                  <w:tcW w:w="1417" w:type="dxa"/>
                                  <w:tcBorders>
                                    <w:top w:val="nil"/>
                                    <w:left w:val="nil"/>
                                    <w:bottom w:val="nil"/>
                                    <w:right w:val="nil"/>
                                  </w:tcBorders>
                                  <w:shd w:val="clear" w:color="auto" w:fill="auto"/>
                                  <w:noWrap/>
                                  <w:vAlign w:val="center"/>
                                </w:tcPr>
                                <w:p w14:paraId="00F720B0" w14:textId="279384A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74.1</w:t>
                                  </w:r>
                                </w:p>
                              </w:tc>
                              <w:tc>
                                <w:tcPr>
                                  <w:tcW w:w="1418" w:type="dxa"/>
                                  <w:tcBorders>
                                    <w:top w:val="nil"/>
                                    <w:left w:val="nil"/>
                                    <w:bottom w:val="nil"/>
                                    <w:right w:val="nil"/>
                                  </w:tcBorders>
                                  <w:shd w:val="clear" w:color="auto" w:fill="auto"/>
                                  <w:noWrap/>
                                  <w:vAlign w:val="center"/>
                                </w:tcPr>
                                <w:p w14:paraId="23ADC34D" w14:textId="343DE3D7"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82.5</w:t>
                                  </w:r>
                                </w:p>
                              </w:tc>
                              <w:tc>
                                <w:tcPr>
                                  <w:tcW w:w="1559" w:type="dxa"/>
                                  <w:tcBorders>
                                    <w:top w:val="nil"/>
                                    <w:left w:val="nil"/>
                                    <w:bottom w:val="nil"/>
                                    <w:right w:val="nil"/>
                                  </w:tcBorders>
                                  <w:shd w:val="clear" w:color="auto" w:fill="auto"/>
                                  <w:noWrap/>
                                  <w:vAlign w:val="center"/>
                                </w:tcPr>
                                <w:p w14:paraId="5C2A1FC3" w14:textId="61699F4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77.2</w:t>
                                  </w:r>
                                </w:p>
                              </w:tc>
                            </w:tr>
                            <w:tr w:rsidR="009E2073" w:rsidRPr="009E2073" w14:paraId="4196B064" w14:textId="77777777" w:rsidTr="009E2073">
                              <w:trPr>
                                <w:trHeight w:val="300"/>
                              </w:trPr>
                              <w:tc>
                                <w:tcPr>
                                  <w:tcW w:w="2835" w:type="dxa"/>
                                  <w:tcBorders>
                                    <w:top w:val="nil"/>
                                    <w:left w:val="nil"/>
                                    <w:bottom w:val="nil"/>
                                    <w:right w:val="nil"/>
                                  </w:tcBorders>
                                  <w:shd w:val="clear" w:color="000000" w:fill="FFFFFF"/>
                                  <w:vAlign w:val="center"/>
                                  <w:hideMark/>
                                </w:tcPr>
                                <w:p w14:paraId="520633D8"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Chile</w:t>
                                  </w:r>
                                </w:p>
                              </w:tc>
                              <w:tc>
                                <w:tcPr>
                                  <w:tcW w:w="2127" w:type="dxa"/>
                                  <w:tcBorders>
                                    <w:top w:val="nil"/>
                                    <w:left w:val="nil"/>
                                    <w:bottom w:val="nil"/>
                                    <w:right w:val="nil"/>
                                  </w:tcBorders>
                                  <w:shd w:val="clear" w:color="auto" w:fill="auto"/>
                                  <w:vAlign w:val="center"/>
                                </w:tcPr>
                                <w:p w14:paraId="52FFB69E" w14:textId="77D20124" w:rsidR="009E2073" w:rsidRPr="009E2073" w:rsidRDefault="009E2073" w:rsidP="009E2073">
                                  <w:pPr>
                                    <w:jc w:val="center"/>
                                    <w:rPr>
                                      <w:rFonts w:ascii="Arial" w:hAnsi="Arial" w:cs="Arial"/>
                                      <w:color w:val="000000"/>
                                      <w:sz w:val="16"/>
                                      <w:szCs w:val="16"/>
                                    </w:rPr>
                                  </w:pPr>
                                  <w:r>
                                    <w:rPr>
                                      <w:rFonts w:ascii="Arial" w:hAnsi="Arial" w:cs="Arial"/>
                                      <w:color w:val="000000"/>
                                      <w:sz w:val="16"/>
                                      <w:szCs w:val="16"/>
                                    </w:rPr>
                                    <w:t>62</w:t>
                                  </w:r>
                                  <w:r w:rsidR="00DD6052">
                                    <w:rPr>
                                      <w:rFonts w:ascii="Arial" w:hAnsi="Arial" w:cs="Arial"/>
                                      <w:color w:val="000000"/>
                                      <w:sz w:val="16"/>
                                      <w:szCs w:val="16"/>
                                    </w:rPr>
                                    <w:t>.2</w:t>
                                  </w:r>
                                </w:p>
                              </w:tc>
                              <w:tc>
                                <w:tcPr>
                                  <w:tcW w:w="1417" w:type="dxa"/>
                                  <w:tcBorders>
                                    <w:top w:val="nil"/>
                                    <w:left w:val="nil"/>
                                    <w:bottom w:val="nil"/>
                                    <w:right w:val="nil"/>
                                  </w:tcBorders>
                                  <w:shd w:val="clear" w:color="auto" w:fill="auto"/>
                                  <w:vAlign w:val="center"/>
                                </w:tcPr>
                                <w:p w14:paraId="370D9A60" w14:textId="17E19B60"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71.8</w:t>
                                  </w:r>
                                </w:p>
                              </w:tc>
                              <w:tc>
                                <w:tcPr>
                                  <w:tcW w:w="1418" w:type="dxa"/>
                                  <w:tcBorders>
                                    <w:top w:val="nil"/>
                                    <w:left w:val="nil"/>
                                    <w:bottom w:val="nil"/>
                                    <w:right w:val="nil"/>
                                  </w:tcBorders>
                                  <w:shd w:val="clear" w:color="auto" w:fill="auto"/>
                                  <w:vAlign w:val="center"/>
                                </w:tcPr>
                                <w:p w14:paraId="1FE81996" w14:textId="42FD9DAD"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84.4</w:t>
                                  </w:r>
                                </w:p>
                              </w:tc>
                              <w:tc>
                                <w:tcPr>
                                  <w:tcW w:w="1559" w:type="dxa"/>
                                  <w:tcBorders>
                                    <w:top w:val="nil"/>
                                    <w:left w:val="nil"/>
                                    <w:bottom w:val="nil"/>
                                    <w:right w:val="nil"/>
                                  </w:tcBorders>
                                  <w:shd w:val="clear" w:color="auto" w:fill="auto"/>
                                  <w:vAlign w:val="center"/>
                                </w:tcPr>
                                <w:p w14:paraId="262A58A0" w14:textId="37C061D1" w:rsidR="009E2073" w:rsidRPr="009E2073" w:rsidRDefault="00731F55" w:rsidP="009E2073">
                                  <w:pPr>
                                    <w:jc w:val="center"/>
                                    <w:rPr>
                                      <w:rFonts w:ascii="Arial" w:hAnsi="Arial" w:cs="Arial"/>
                                      <w:color w:val="000000"/>
                                      <w:sz w:val="16"/>
                                      <w:szCs w:val="16"/>
                                    </w:rPr>
                                  </w:pPr>
                                  <w:r>
                                    <w:rPr>
                                      <w:rFonts w:ascii="Arial" w:hAnsi="Arial" w:cs="Arial"/>
                                      <w:color w:val="000000"/>
                                      <w:sz w:val="16"/>
                                      <w:szCs w:val="16"/>
                                    </w:rPr>
                                    <w:t>71</w:t>
                                  </w:r>
                                  <w:r w:rsidR="000A29BD">
                                    <w:rPr>
                                      <w:rFonts w:ascii="Arial" w:hAnsi="Arial" w:cs="Arial"/>
                                      <w:color w:val="000000"/>
                                      <w:sz w:val="16"/>
                                      <w:szCs w:val="16"/>
                                    </w:rPr>
                                    <w:t>.2</w:t>
                                  </w:r>
                                </w:p>
                              </w:tc>
                            </w:tr>
                            <w:tr w:rsidR="009E2073" w:rsidRPr="009E2073" w14:paraId="77219147" w14:textId="77777777" w:rsidTr="009E2073">
                              <w:trPr>
                                <w:trHeight w:val="300"/>
                              </w:trPr>
                              <w:tc>
                                <w:tcPr>
                                  <w:tcW w:w="2835" w:type="dxa"/>
                                  <w:tcBorders>
                                    <w:top w:val="nil"/>
                                    <w:left w:val="nil"/>
                                    <w:bottom w:val="nil"/>
                                    <w:right w:val="nil"/>
                                  </w:tcBorders>
                                  <w:shd w:val="clear" w:color="000000" w:fill="FFFFFF"/>
                                  <w:vAlign w:val="center"/>
                                  <w:hideMark/>
                                </w:tcPr>
                                <w:p w14:paraId="683D4DB4"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España</w:t>
                                  </w:r>
                                </w:p>
                              </w:tc>
                              <w:tc>
                                <w:tcPr>
                                  <w:tcW w:w="2127" w:type="dxa"/>
                                  <w:tcBorders>
                                    <w:top w:val="nil"/>
                                    <w:left w:val="nil"/>
                                    <w:bottom w:val="nil"/>
                                    <w:right w:val="nil"/>
                                  </w:tcBorders>
                                  <w:shd w:val="clear" w:color="auto" w:fill="auto"/>
                                  <w:noWrap/>
                                  <w:vAlign w:val="center"/>
                                </w:tcPr>
                                <w:p w14:paraId="12DAF119" w14:textId="2F3D4ED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55.5</w:t>
                                  </w:r>
                                </w:p>
                              </w:tc>
                              <w:tc>
                                <w:tcPr>
                                  <w:tcW w:w="1417" w:type="dxa"/>
                                  <w:tcBorders>
                                    <w:top w:val="nil"/>
                                    <w:left w:val="nil"/>
                                    <w:bottom w:val="nil"/>
                                    <w:right w:val="nil"/>
                                  </w:tcBorders>
                                  <w:shd w:val="clear" w:color="auto" w:fill="auto"/>
                                  <w:noWrap/>
                                  <w:vAlign w:val="center"/>
                                </w:tcPr>
                                <w:p w14:paraId="74600579" w14:textId="2DDA9714"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70.2</w:t>
                                  </w:r>
                                </w:p>
                              </w:tc>
                              <w:tc>
                                <w:tcPr>
                                  <w:tcW w:w="1418" w:type="dxa"/>
                                  <w:tcBorders>
                                    <w:top w:val="nil"/>
                                    <w:left w:val="nil"/>
                                    <w:bottom w:val="nil"/>
                                    <w:right w:val="nil"/>
                                  </w:tcBorders>
                                  <w:shd w:val="clear" w:color="auto" w:fill="auto"/>
                                  <w:noWrap/>
                                  <w:vAlign w:val="center"/>
                                </w:tcPr>
                                <w:p w14:paraId="22BEF868" w14:textId="34117DA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80.9</w:t>
                                  </w:r>
                                </w:p>
                              </w:tc>
                              <w:tc>
                                <w:tcPr>
                                  <w:tcW w:w="1559" w:type="dxa"/>
                                  <w:tcBorders>
                                    <w:top w:val="nil"/>
                                    <w:left w:val="nil"/>
                                    <w:bottom w:val="nil"/>
                                    <w:right w:val="nil"/>
                                  </w:tcBorders>
                                  <w:shd w:val="clear" w:color="auto" w:fill="auto"/>
                                  <w:noWrap/>
                                  <w:vAlign w:val="center"/>
                                </w:tcPr>
                                <w:p w14:paraId="134C7497" w14:textId="27481CE6"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68.1</w:t>
                                  </w:r>
                                </w:p>
                              </w:tc>
                            </w:tr>
                            <w:tr w:rsidR="009E2073" w:rsidRPr="009E2073" w14:paraId="3D317722" w14:textId="77777777" w:rsidTr="009E2073">
                              <w:trPr>
                                <w:trHeight w:val="450"/>
                              </w:trPr>
                              <w:tc>
                                <w:tcPr>
                                  <w:tcW w:w="2835" w:type="dxa"/>
                                  <w:tcBorders>
                                    <w:top w:val="nil"/>
                                    <w:left w:val="nil"/>
                                    <w:bottom w:val="nil"/>
                                    <w:right w:val="nil"/>
                                  </w:tcBorders>
                                  <w:shd w:val="clear" w:color="000000" w:fill="FFFFFF"/>
                                  <w:vAlign w:val="center"/>
                                  <w:hideMark/>
                                </w:tcPr>
                                <w:p w14:paraId="5DCF5B7C"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Estados Unidos</w:t>
                                  </w:r>
                                </w:p>
                              </w:tc>
                              <w:tc>
                                <w:tcPr>
                                  <w:tcW w:w="2127" w:type="dxa"/>
                                  <w:tcBorders>
                                    <w:top w:val="nil"/>
                                    <w:left w:val="nil"/>
                                    <w:bottom w:val="nil"/>
                                    <w:right w:val="nil"/>
                                  </w:tcBorders>
                                  <w:shd w:val="clear" w:color="auto" w:fill="auto"/>
                                  <w:noWrap/>
                                  <w:vAlign w:val="center"/>
                                </w:tcPr>
                                <w:p w14:paraId="76F58646" w14:textId="3C4FA68C"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55.6</w:t>
                                  </w:r>
                                </w:p>
                              </w:tc>
                              <w:tc>
                                <w:tcPr>
                                  <w:tcW w:w="1417" w:type="dxa"/>
                                  <w:tcBorders>
                                    <w:top w:val="nil"/>
                                    <w:left w:val="nil"/>
                                    <w:bottom w:val="nil"/>
                                    <w:right w:val="nil"/>
                                  </w:tcBorders>
                                  <w:shd w:val="clear" w:color="auto" w:fill="auto"/>
                                  <w:noWrap/>
                                  <w:vAlign w:val="center"/>
                                </w:tcPr>
                                <w:p w14:paraId="442D30A7" w14:textId="5290FB8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70.0</w:t>
                                  </w:r>
                                </w:p>
                              </w:tc>
                              <w:tc>
                                <w:tcPr>
                                  <w:tcW w:w="1418" w:type="dxa"/>
                                  <w:tcBorders>
                                    <w:top w:val="nil"/>
                                    <w:left w:val="nil"/>
                                    <w:bottom w:val="nil"/>
                                    <w:right w:val="nil"/>
                                  </w:tcBorders>
                                  <w:shd w:val="clear" w:color="auto" w:fill="auto"/>
                                  <w:noWrap/>
                                  <w:vAlign w:val="center"/>
                                </w:tcPr>
                                <w:p w14:paraId="14B04F03" w14:textId="11A6AFD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81.8</w:t>
                                  </w:r>
                                </w:p>
                              </w:tc>
                              <w:tc>
                                <w:tcPr>
                                  <w:tcW w:w="1559" w:type="dxa"/>
                                  <w:tcBorders>
                                    <w:top w:val="nil"/>
                                    <w:left w:val="nil"/>
                                    <w:bottom w:val="nil"/>
                                    <w:right w:val="nil"/>
                                  </w:tcBorders>
                                  <w:shd w:val="clear" w:color="auto" w:fill="auto"/>
                                  <w:noWrap/>
                                  <w:vAlign w:val="center"/>
                                </w:tcPr>
                                <w:p w14:paraId="4AD3DF7C" w14:textId="070B8730"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74.1</w:t>
                                  </w:r>
                                </w:p>
                              </w:tc>
                            </w:tr>
                            <w:tr w:rsidR="009E2073" w:rsidRPr="009E2073" w14:paraId="6557F601" w14:textId="77777777" w:rsidTr="009E2073">
                              <w:trPr>
                                <w:trHeight w:val="315"/>
                              </w:trPr>
                              <w:tc>
                                <w:tcPr>
                                  <w:tcW w:w="2835" w:type="dxa"/>
                                  <w:tcBorders>
                                    <w:top w:val="nil"/>
                                    <w:left w:val="nil"/>
                                    <w:bottom w:val="nil"/>
                                    <w:right w:val="nil"/>
                                  </w:tcBorders>
                                  <w:shd w:val="clear" w:color="000000" w:fill="FFFFFF"/>
                                  <w:vAlign w:val="center"/>
                                  <w:hideMark/>
                                </w:tcPr>
                                <w:p w14:paraId="2DB41A16"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México</w:t>
                                  </w:r>
                                </w:p>
                              </w:tc>
                              <w:tc>
                                <w:tcPr>
                                  <w:tcW w:w="2127" w:type="dxa"/>
                                  <w:tcBorders>
                                    <w:top w:val="nil"/>
                                    <w:left w:val="nil"/>
                                    <w:bottom w:val="nil"/>
                                    <w:right w:val="nil"/>
                                  </w:tcBorders>
                                  <w:shd w:val="clear" w:color="auto" w:fill="auto"/>
                                  <w:noWrap/>
                                  <w:vAlign w:val="center"/>
                                </w:tcPr>
                                <w:p w14:paraId="71598373" w14:textId="158D1AE0" w:rsidR="009E2073" w:rsidRPr="00DD528F" w:rsidRDefault="00DD6052" w:rsidP="009E2073">
                                  <w:pPr>
                                    <w:jc w:val="center"/>
                                    <w:rPr>
                                      <w:rFonts w:ascii="Arial" w:hAnsi="Arial" w:cs="Arial"/>
                                      <w:bCs/>
                                      <w:color w:val="000000"/>
                                      <w:sz w:val="16"/>
                                      <w:szCs w:val="16"/>
                                    </w:rPr>
                                  </w:pPr>
                                  <w:r w:rsidRPr="00DD528F">
                                    <w:rPr>
                                      <w:rFonts w:ascii="Arial" w:hAnsi="Arial" w:cs="Arial"/>
                                      <w:bCs/>
                                      <w:color w:val="000000"/>
                                      <w:sz w:val="16"/>
                                      <w:szCs w:val="16"/>
                                    </w:rPr>
                                    <w:t>64.6</w:t>
                                  </w:r>
                                </w:p>
                              </w:tc>
                              <w:tc>
                                <w:tcPr>
                                  <w:tcW w:w="1417" w:type="dxa"/>
                                  <w:tcBorders>
                                    <w:top w:val="nil"/>
                                    <w:left w:val="nil"/>
                                    <w:bottom w:val="nil"/>
                                    <w:right w:val="nil"/>
                                  </w:tcBorders>
                                  <w:shd w:val="clear" w:color="auto" w:fill="auto"/>
                                  <w:noWrap/>
                                  <w:vAlign w:val="center"/>
                                </w:tcPr>
                                <w:p w14:paraId="1214BB3B" w14:textId="0FA70413"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70</w:t>
                                  </w:r>
                                  <w:r w:rsidR="00DD6052" w:rsidRPr="00DD528F">
                                    <w:rPr>
                                      <w:rFonts w:ascii="Arial" w:hAnsi="Arial" w:cs="Arial"/>
                                      <w:bCs/>
                                      <w:color w:val="000000"/>
                                      <w:sz w:val="16"/>
                                      <w:szCs w:val="16"/>
                                    </w:rPr>
                                    <w:t>.6</w:t>
                                  </w:r>
                                </w:p>
                              </w:tc>
                              <w:tc>
                                <w:tcPr>
                                  <w:tcW w:w="1418" w:type="dxa"/>
                                  <w:tcBorders>
                                    <w:top w:val="nil"/>
                                    <w:left w:val="nil"/>
                                    <w:bottom w:val="nil"/>
                                    <w:right w:val="nil"/>
                                  </w:tcBorders>
                                  <w:shd w:val="clear" w:color="auto" w:fill="auto"/>
                                  <w:noWrap/>
                                  <w:vAlign w:val="center"/>
                                </w:tcPr>
                                <w:p w14:paraId="405F8200" w14:textId="33961A01"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80</w:t>
                                  </w:r>
                                  <w:r w:rsidR="000A29BD" w:rsidRPr="00DD528F">
                                    <w:rPr>
                                      <w:rFonts w:ascii="Arial" w:hAnsi="Arial" w:cs="Arial"/>
                                      <w:bCs/>
                                      <w:color w:val="000000"/>
                                      <w:sz w:val="16"/>
                                      <w:szCs w:val="16"/>
                                    </w:rPr>
                                    <w:t>.0</w:t>
                                  </w:r>
                                </w:p>
                              </w:tc>
                              <w:tc>
                                <w:tcPr>
                                  <w:tcW w:w="1559" w:type="dxa"/>
                                  <w:tcBorders>
                                    <w:top w:val="nil"/>
                                    <w:left w:val="nil"/>
                                    <w:bottom w:val="nil"/>
                                    <w:right w:val="nil"/>
                                  </w:tcBorders>
                                  <w:shd w:val="clear" w:color="auto" w:fill="auto"/>
                                  <w:noWrap/>
                                  <w:vAlign w:val="center"/>
                                </w:tcPr>
                                <w:p w14:paraId="2B0B235A" w14:textId="2A5865E7"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68</w:t>
                                  </w:r>
                                  <w:r w:rsidR="000A29BD" w:rsidRPr="00DD528F">
                                    <w:rPr>
                                      <w:rFonts w:ascii="Arial" w:hAnsi="Arial" w:cs="Arial"/>
                                      <w:bCs/>
                                      <w:color w:val="000000"/>
                                      <w:sz w:val="16"/>
                                      <w:szCs w:val="16"/>
                                    </w:rPr>
                                    <w:t>.5</w:t>
                                  </w:r>
                                </w:p>
                              </w:tc>
                            </w:tr>
                            <w:tr w:rsidR="009E2073" w:rsidRPr="009E2073" w14:paraId="4AB7B45E" w14:textId="77777777" w:rsidTr="009E2073">
                              <w:trPr>
                                <w:trHeight w:val="315"/>
                              </w:trPr>
                              <w:tc>
                                <w:tcPr>
                                  <w:tcW w:w="2835" w:type="dxa"/>
                                  <w:tcBorders>
                                    <w:top w:val="single" w:sz="8" w:space="0" w:color="auto"/>
                                    <w:left w:val="nil"/>
                                    <w:bottom w:val="single" w:sz="8" w:space="0" w:color="auto"/>
                                    <w:right w:val="nil"/>
                                  </w:tcBorders>
                                  <w:shd w:val="clear" w:color="000000" w:fill="FFFFFF"/>
                                  <w:vAlign w:val="center"/>
                                  <w:hideMark/>
                                </w:tcPr>
                                <w:p w14:paraId="7A857B0C"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Promedio OCDE</w:t>
                                  </w:r>
                                </w:p>
                              </w:tc>
                              <w:tc>
                                <w:tcPr>
                                  <w:tcW w:w="2127" w:type="dxa"/>
                                  <w:tcBorders>
                                    <w:top w:val="single" w:sz="8" w:space="0" w:color="auto"/>
                                    <w:left w:val="nil"/>
                                    <w:bottom w:val="single" w:sz="8" w:space="0" w:color="auto"/>
                                    <w:right w:val="nil"/>
                                  </w:tcBorders>
                                  <w:shd w:val="clear" w:color="auto" w:fill="auto"/>
                                  <w:noWrap/>
                                  <w:vAlign w:val="center"/>
                                </w:tcPr>
                                <w:p w14:paraId="6DCE70C5" w14:textId="79E2387B"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56.5</w:t>
                                  </w:r>
                                </w:p>
                              </w:tc>
                              <w:tc>
                                <w:tcPr>
                                  <w:tcW w:w="1417" w:type="dxa"/>
                                  <w:tcBorders>
                                    <w:top w:val="single" w:sz="8" w:space="0" w:color="auto"/>
                                    <w:left w:val="nil"/>
                                    <w:bottom w:val="single" w:sz="8" w:space="0" w:color="auto"/>
                                    <w:right w:val="nil"/>
                                  </w:tcBorders>
                                  <w:shd w:val="clear" w:color="auto" w:fill="auto"/>
                                  <w:noWrap/>
                                  <w:vAlign w:val="center"/>
                                </w:tcPr>
                                <w:p w14:paraId="23C927AF" w14:textId="185320F3"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75.4</w:t>
                                  </w:r>
                                </w:p>
                              </w:tc>
                              <w:tc>
                                <w:tcPr>
                                  <w:tcW w:w="1418" w:type="dxa"/>
                                  <w:tcBorders>
                                    <w:top w:val="single" w:sz="8" w:space="0" w:color="auto"/>
                                    <w:left w:val="nil"/>
                                    <w:bottom w:val="single" w:sz="8" w:space="0" w:color="auto"/>
                                    <w:right w:val="nil"/>
                                  </w:tcBorders>
                                  <w:shd w:val="clear" w:color="auto" w:fill="auto"/>
                                  <w:noWrap/>
                                  <w:vAlign w:val="center"/>
                                </w:tcPr>
                                <w:p w14:paraId="770430A0" w14:textId="2BBF381C"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85.2</w:t>
                                  </w:r>
                                </w:p>
                              </w:tc>
                              <w:tc>
                                <w:tcPr>
                                  <w:tcW w:w="1559" w:type="dxa"/>
                                  <w:tcBorders>
                                    <w:top w:val="single" w:sz="8" w:space="0" w:color="auto"/>
                                    <w:left w:val="nil"/>
                                    <w:bottom w:val="single" w:sz="8" w:space="0" w:color="auto"/>
                                    <w:right w:val="nil"/>
                                  </w:tcBorders>
                                  <w:shd w:val="clear" w:color="auto" w:fill="auto"/>
                                  <w:noWrap/>
                                  <w:vAlign w:val="center"/>
                                </w:tcPr>
                                <w:p w14:paraId="76CA51F9" w14:textId="635DF3E8" w:rsidR="009E2073" w:rsidRPr="009E2073" w:rsidRDefault="00731F55" w:rsidP="009E2073">
                                  <w:pPr>
                                    <w:jc w:val="center"/>
                                    <w:rPr>
                                      <w:rFonts w:ascii="Arial" w:hAnsi="Arial" w:cs="Arial"/>
                                      <w:color w:val="000000"/>
                                      <w:sz w:val="16"/>
                                      <w:szCs w:val="16"/>
                                    </w:rPr>
                                  </w:pPr>
                                  <w:r>
                                    <w:rPr>
                                      <w:rFonts w:ascii="Arial" w:hAnsi="Arial" w:cs="Arial"/>
                                      <w:color w:val="000000"/>
                                      <w:sz w:val="16"/>
                                      <w:szCs w:val="16"/>
                                    </w:rPr>
                                    <w:t>75</w:t>
                                  </w:r>
                                  <w:r w:rsidR="000A29BD">
                                    <w:rPr>
                                      <w:rFonts w:ascii="Arial" w:hAnsi="Arial" w:cs="Arial"/>
                                      <w:color w:val="000000"/>
                                      <w:sz w:val="16"/>
                                      <w:szCs w:val="16"/>
                                    </w:rPr>
                                    <w:t>.5</w:t>
                                  </w:r>
                                </w:p>
                              </w:tc>
                            </w:tr>
                            <w:tr w:rsidR="009E2073" w:rsidRPr="009E2073" w14:paraId="0B1CD0FF" w14:textId="77777777" w:rsidTr="009E2073">
                              <w:trPr>
                                <w:trHeight w:val="300"/>
                              </w:trPr>
                              <w:tc>
                                <w:tcPr>
                                  <w:tcW w:w="9356" w:type="dxa"/>
                                  <w:gridSpan w:val="5"/>
                                  <w:tcBorders>
                                    <w:top w:val="nil"/>
                                    <w:left w:val="nil"/>
                                    <w:bottom w:val="nil"/>
                                    <w:right w:val="nil"/>
                                  </w:tcBorders>
                                  <w:shd w:val="clear" w:color="000000" w:fill="FFFFFF"/>
                                  <w:vAlign w:val="center"/>
                                  <w:hideMark/>
                                </w:tcPr>
                                <w:p w14:paraId="048F5E2F" w14:textId="77777777" w:rsidR="009E2073" w:rsidRPr="009E2073" w:rsidRDefault="009E2073" w:rsidP="009E2073">
                                  <w:pPr>
                                    <w:rPr>
                                      <w:rFonts w:ascii="Arial" w:hAnsi="Arial" w:cs="Arial"/>
                                      <w:color w:val="000000"/>
                                      <w:sz w:val="12"/>
                                      <w:szCs w:val="12"/>
                                    </w:rPr>
                                  </w:pPr>
                                  <w:r w:rsidRPr="009E2073">
                                    <w:rPr>
                                      <w:rFonts w:ascii="Arial" w:hAnsi="Arial" w:cs="Arial"/>
                                      <w:color w:val="000000"/>
                                      <w:sz w:val="12"/>
                                      <w:szCs w:val="12"/>
                                      <w:vertAlign w:val="superscript"/>
                                    </w:rPr>
                                    <w:t xml:space="preserve">1 </w:t>
                                  </w:r>
                                  <w:r w:rsidRPr="009E2073">
                                    <w:rPr>
                                      <w:rFonts w:ascii="Arial" w:hAnsi="Arial" w:cs="Arial"/>
                                      <w:color w:val="000000"/>
                                      <w:sz w:val="12"/>
                                      <w:szCs w:val="12"/>
                                    </w:rPr>
                                    <w:t xml:space="preserve">Corresponde al nivel 3 CINE 2011 (UNESCO, 2013). </w:t>
                                  </w:r>
                                </w:p>
                              </w:tc>
                            </w:tr>
                            <w:tr w:rsidR="009E2073" w:rsidRPr="009E2073" w14:paraId="3CA9231E" w14:textId="77777777" w:rsidTr="009E2073">
                              <w:trPr>
                                <w:trHeight w:val="300"/>
                              </w:trPr>
                              <w:tc>
                                <w:tcPr>
                                  <w:tcW w:w="9356" w:type="dxa"/>
                                  <w:gridSpan w:val="5"/>
                                  <w:tcBorders>
                                    <w:top w:val="nil"/>
                                    <w:left w:val="nil"/>
                                    <w:bottom w:val="nil"/>
                                    <w:right w:val="nil"/>
                                  </w:tcBorders>
                                  <w:shd w:val="clear" w:color="000000" w:fill="FFFFFF"/>
                                  <w:vAlign w:val="center"/>
                                  <w:hideMark/>
                                </w:tcPr>
                                <w:p w14:paraId="6B8A88A5" w14:textId="77777777" w:rsidR="009E2073" w:rsidRPr="009E2073" w:rsidRDefault="009E2073" w:rsidP="009E2073">
                                  <w:pPr>
                                    <w:rPr>
                                      <w:rFonts w:ascii="Arial" w:hAnsi="Arial" w:cs="Arial"/>
                                      <w:color w:val="000000"/>
                                      <w:sz w:val="12"/>
                                      <w:szCs w:val="12"/>
                                    </w:rPr>
                                  </w:pPr>
                                  <w:r w:rsidRPr="009E2073">
                                    <w:rPr>
                                      <w:rFonts w:ascii="Arial" w:hAnsi="Arial" w:cs="Arial"/>
                                      <w:color w:val="000000"/>
                                      <w:sz w:val="12"/>
                                      <w:szCs w:val="12"/>
                                      <w:vertAlign w:val="superscript"/>
                                    </w:rPr>
                                    <w:t xml:space="preserve">2 </w:t>
                                  </w:r>
                                  <w:r w:rsidRPr="009E2073">
                                    <w:rPr>
                                      <w:rFonts w:ascii="Arial" w:hAnsi="Arial" w:cs="Arial"/>
                                      <w:color w:val="000000"/>
                                      <w:sz w:val="12"/>
                                      <w:szCs w:val="12"/>
                                    </w:rPr>
                                    <w:t>Se refiere al nivel 6 de la misma clasificación.</w:t>
                                  </w:r>
                                </w:p>
                              </w:tc>
                            </w:tr>
                            <w:tr w:rsidR="009E2073" w:rsidRPr="009E2073" w14:paraId="21040D81" w14:textId="77777777" w:rsidTr="009E2073">
                              <w:trPr>
                                <w:trHeight w:val="300"/>
                              </w:trPr>
                              <w:tc>
                                <w:tcPr>
                                  <w:tcW w:w="9356" w:type="dxa"/>
                                  <w:gridSpan w:val="5"/>
                                  <w:tcBorders>
                                    <w:top w:val="nil"/>
                                    <w:left w:val="nil"/>
                                    <w:bottom w:val="nil"/>
                                    <w:right w:val="nil"/>
                                  </w:tcBorders>
                                  <w:shd w:val="clear" w:color="000000" w:fill="FFFFFF"/>
                                  <w:vAlign w:val="center"/>
                                  <w:hideMark/>
                                </w:tcPr>
                                <w:p w14:paraId="3FB5156F" w14:textId="5A9FC2AC" w:rsidR="009E2073" w:rsidRPr="0012668C" w:rsidRDefault="009E2073" w:rsidP="009E2073">
                                  <w:pPr>
                                    <w:rPr>
                                      <w:rFonts w:ascii="Arial" w:hAnsi="Arial" w:cs="Arial"/>
                                      <w:bCs/>
                                      <w:color w:val="000000"/>
                                      <w:sz w:val="12"/>
                                      <w:szCs w:val="12"/>
                                    </w:rPr>
                                  </w:pPr>
                                  <w:r w:rsidRPr="0012668C">
                                    <w:rPr>
                                      <w:rFonts w:ascii="Arial" w:hAnsi="Arial" w:cs="Arial"/>
                                      <w:bCs/>
                                      <w:color w:val="000000"/>
                                      <w:sz w:val="12"/>
                                      <w:szCs w:val="12"/>
                                      <w:lang w:val="en-US"/>
                                    </w:rPr>
                                    <w:t>Fuente:</w:t>
                                  </w:r>
                                  <w:r w:rsidRPr="0012668C">
                                    <w:rPr>
                                      <w:rFonts w:ascii="Arial" w:hAnsi="Arial" w:cs="Arial"/>
                                      <w:color w:val="000000"/>
                                      <w:sz w:val="12"/>
                                      <w:szCs w:val="12"/>
                                      <w:lang w:val="en-US"/>
                                    </w:rPr>
                                    <w:t xml:space="preserve"> </w:t>
                                  </w:r>
                                  <w:r w:rsidR="002102BF" w:rsidRPr="0012668C">
                                    <w:rPr>
                                      <w:rFonts w:ascii="Arial" w:hAnsi="Arial" w:cs="Arial"/>
                                      <w:i/>
                                      <w:iCs/>
                                      <w:color w:val="000000"/>
                                      <w:sz w:val="12"/>
                                      <w:szCs w:val="12"/>
                                      <w:lang w:val="en-US"/>
                                    </w:rPr>
                                    <w:t>Education at a Glance 2018</w:t>
                                  </w:r>
                                  <w:r w:rsidRPr="0012668C">
                                    <w:rPr>
                                      <w:rFonts w:ascii="Arial" w:hAnsi="Arial" w:cs="Arial"/>
                                      <w:i/>
                                      <w:iCs/>
                                      <w:color w:val="000000"/>
                                      <w:sz w:val="12"/>
                                      <w:szCs w:val="12"/>
                                      <w:lang w:val="en-US"/>
                                    </w:rPr>
                                    <w:t>. OECD Indicators</w:t>
                                  </w:r>
                                  <w:r w:rsidR="002102BF" w:rsidRPr="0012668C">
                                    <w:rPr>
                                      <w:rFonts w:ascii="Arial" w:hAnsi="Arial" w:cs="Arial"/>
                                      <w:color w:val="000000"/>
                                      <w:sz w:val="12"/>
                                      <w:szCs w:val="12"/>
                                      <w:lang w:val="en-US"/>
                                    </w:rPr>
                                    <w:t xml:space="preserve"> </w:t>
                                  </w:r>
                                  <w:r w:rsidR="0051633C" w:rsidRPr="0012668C">
                                    <w:rPr>
                                      <w:rFonts w:ascii="Arial" w:hAnsi="Arial" w:cs="Arial"/>
                                      <w:color w:val="000000"/>
                                      <w:sz w:val="12"/>
                                      <w:szCs w:val="12"/>
                                      <w:lang w:val="en-US"/>
                                    </w:rPr>
                                    <w:t>(</w:t>
                                  </w:r>
                                  <w:r w:rsidR="002102BF" w:rsidRPr="0012668C">
                                    <w:rPr>
                                      <w:rFonts w:ascii="Arial" w:hAnsi="Arial" w:cs="Arial"/>
                                      <w:color w:val="000000"/>
                                      <w:sz w:val="12"/>
                                      <w:szCs w:val="12"/>
                                      <w:lang w:val="en-US"/>
                                    </w:rPr>
                                    <w:t>OECD</w:t>
                                  </w:r>
                                  <w:r w:rsidR="0051633C" w:rsidRPr="0012668C">
                                    <w:rPr>
                                      <w:rFonts w:ascii="Arial" w:hAnsi="Arial" w:cs="Arial"/>
                                      <w:color w:val="000000"/>
                                      <w:sz w:val="12"/>
                                      <w:szCs w:val="12"/>
                                      <w:lang w:val="en-US"/>
                                    </w:rPr>
                                    <w:t xml:space="preserve">, </w:t>
                                  </w:r>
                                  <w:r w:rsidR="002102BF" w:rsidRPr="0012668C">
                                    <w:rPr>
                                      <w:rFonts w:ascii="Arial" w:hAnsi="Arial" w:cs="Arial"/>
                                      <w:color w:val="000000"/>
                                      <w:sz w:val="12"/>
                                      <w:szCs w:val="12"/>
                                      <w:lang w:val="en-US"/>
                                    </w:rPr>
                                    <w:t>2018</w:t>
                                  </w:r>
                                  <w:r w:rsidRPr="0012668C">
                                    <w:rPr>
                                      <w:rFonts w:ascii="Arial" w:hAnsi="Arial" w:cs="Arial"/>
                                      <w:color w:val="000000"/>
                                      <w:sz w:val="12"/>
                                      <w:szCs w:val="12"/>
                                      <w:lang w:val="en-US"/>
                                    </w:rPr>
                                    <w:t>).</w:t>
                                  </w:r>
                                </w:p>
                              </w:tc>
                            </w:tr>
                          </w:tbl>
                          <w:p w14:paraId="5771F726" w14:textId="01B33F85" w:rsidR="009E2073" w:rsidRDefault="009E2073" w:rsidP="00396B3B">
                            <w:pPr>
                              <w:rPr>
                                <w:rFonts w:ascii="Arial" w:hAnsi="Arial" w:cs="Arial"/>
                                <w:b/>
                                <w:sz w:val="18"/>
                                <w:szCs w:val="16"/>
                              </w:rPr>
                            </w:pPr>
                            <w:r>
                              <w:rPr>
                                <w:rFonts w:ascii="Arial" w:hAnsi="Arial" w:cs="Arial"/>
                                <w:b/>
                                <w:sz w:val="18"/>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C08D8D" id="AutoShape 26" o:spid="_x0000_s1027" style="position:absolute;margin-left:64.5pt;margin-top:17.6pt;width:502.6pt;height:398.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414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">
                <v:textbox>
                  <w:txbxContent>
                    <w:p w14:paraId="39A743B7" w14:textId="77777777" w:rsidR="00396B3B" w:rsidRPr="00396B3B" w:rsidRDefault="00396B3B" w:rsidP="00396B3B">
                      <w:pPr>
                        <w:rPr>
                          <w:rFonts w:ascii="Arial" w:hAnsi="Arial" w:cs="Arial"/>
                          <w:b/>
                          <w:sz w:val="18"/>
                          <w:szCs w:val="16"/>
                        </w:rPr>
                      </w:pPr>
                      <w:r w:rsidRPr="00396B3B">
                        <w:rPr>
                          <w:rFonts w:ascii="Arial" w:hAnsi="Arial" w:cs="Arial"/>
                          <w:b/>
                          <w:sz w:val="18"/>
                          <w:szCs w:val="16"/>
                        </w:rPr>
                        <w:t>Referente de evaluación</w:t>
                      </w:r>
                    </w:p>
                    <w:p w14:paraId="60DD850B" w14:textId="77777777" w:rsidR="00396B3B" w:rsidRDefault="00396B3B" w:rsidP="00396B3B">
                      <w:pPr>
                        <w:jc w:val="both"/>
                        <w:rPr>
                          <w:rFonts w:ascii="Arial" w:hAnsi="Arial" w:cs="Arial"/>
                          <w:sz w:val="16"/>
                          <w:szCs w:val="16"/>
                        </w:rPr>
                      </w:pPr>
                    </w:p>
                    <w:p w14:paraId="2D45CE5D" w14:textId="1839AD1C" w:rsidR="00396B3B" w:rsidRPr="00396B3B" w:rsidRDefault="00396B3B" w:rsidP="00396B3B">
                      <w:pPr>
                        <w:jc w:val="both"/>
                        <w:rPr>
                          <w:rFonts w:ascii="Arial" w:hAnsi="Arial" w:cs="Arial"/>
                          <w:sz w:val="16"/>
                          <w:szCs w:val="16"/>
                        </w:rPr>
                      </w:pPr>
                      <w:r w:rsidRPr="00396B3B">
                        <w:rPr>
                          <w:rFonts w:ascii="Arial" w:hAnsi="Arial" w:cs="Arial"/>
                          <w:sz w:val="16"/>
                          <w:szCs w:val="16"/>
                        </w:rPr>
                        <w:t>Para el caso de los jóvenes s</w:t>
                      </w:r>
                      <w:r w:rsidR="0051633C">
                        <w:rPr>
                          <w:rFonts w:ascii="Arial" w:hAnsi="Arial" w:cs="Arial"/>
                          <w:sz w:val="16"/>
                          <w:szCs w:val="16"/>
                        </w:rPr>
                        <w:t>e</w:t>
                      </w:r>
                      <w:r w:rsidRPr="00396B3B">
                        <w:rPr>
                          <w:rFonts w:ascii="Arial" w:hAnsi="Arial" w:cs="Arial"/>
                          <w:sz w:val="16"/>
                          <w:szCs w:val="16"/>
                        </w:rPr>
                        <w:t xml:space="preserve"> espera que las tasas de ocupación en las escolaridades por debajo de básica se acerquen a cero conforme </w:t>
                      </w:r>
                      <w:r w:rsidR="00B37048">
                        <w:rPr>
                          <w:rFonts w:ascii="Arial" w:hAnsi="Arial" w:cs="Arial"/>
                          <w:sz w:val="16"/>
                          <w:szCs w:val="16"/>
                        </w:rPr>
                        <w:t>e</w:t>
                      </w:r>
                      <w:r w:rsidRPr="00396B3B">
                        <w:rPr>
                          <w:rFonts w:ascii="Arial" w:hAnsi="Arial" w:cs="Arial"/>
                          <w:sz w:val="16"/>
                          <w:szCs w:val="16"/>
                        </w:rPr>
                        <w:t xml:space="preserve">sta población se aproxime más al pleno ejercicio de su derecho a la educación básica, </w:t>
                      </w:r>
                      <w:r w:rsidR="00B350E7">
                        <w:rPr>
                          <w:rFonts w:ascii="Arial" w:hAnsi="Arial" w:cs="Arial"/>
                          <w:sz w:val="16"/>
                          <w:szCs w:val="16"/>
                        </w:rPr>
                        <w:t>reconocido</w:t>
                      </w:r>
                      <w:r w:rsidR="00B350E7" w:rsidRPr="00396B3B">
                        <w:rPr>
                          <w:rFonts w:ascii="Arial" w:hAnsi="Arial" w:cs="Arial"/>
                          <w:sz w:val="16"/>
                          <w:szCs w:val="16"/>
                        </w:rPr>
                        <w:t xml:space="preserve"> </w:t>
                      </w:r>
                      <w:r w:rsidRPr="00396B3B">
                        <w:rPr>
                          <w:rFonts w:ascii="Arial" w:hAnsi="Arial" w:cs="Arial"/>
                          <w:sz w:val="16"/>
                          <w:szCs w:val="16"/>
                        </w:rPr>
                        <w:t>en la C</w:t>
                      </w:r>
                      <w:r w:rsidR="00B350E7" w:rsidRPr="00F36639">
                        <w:rPr>
                          <w:rFonts w:ascii="Arial" w:hAnsi="Arial" w:cs="Arial"/>
                          <w:sz w:val="16"/>
                          <w:szCs w:val="16"/>
                        </w:rPr>
                        <w:t>PEUM</w:t>
                      </w:r>
                      <w:r w:rsidR="00B350E7" w:rsidRPr="00396B3B">
                        <w:rPr>
                          <w:rFonts w:ascii="Arial" w:hAnsi="Arial" w:cs="Arial"/>
                          <w:i/>
                          <w:sz w:val="16"/>
                          <w:szCs w:val="16"/>
                        </w:rPr>
                        <w:t xml:space="preserve"> </w:t>
                      </w:r>
                      <w:r w:rsidRPr="00396B3B">
                        <w:rPr>
                          <w:rFonts w:ascii="Arial" w:hAnsi="Arial" w:cs="Arial"/>
                          <w:sz w:val="16"/>
                          <w:szCs w:val="16"/>
                        </w:rPr>
                        <w:t xml:space="preserve">y </w:t>
                      </w:r>
                      <w:r w:rsidR="00DD63D9">
                        <w:rPr>
                          <w:rFonts w:ascii="Arial" w:hAnsi="Arial" w:cs="Arial"/>
                          <w:sz w:val="16"/>
                          <w:szCs w:val="16"/>
                          <w:lang w:val="es-419"/>
                        </w:rPr>
                        <w:t xml:space="preserve">en </w:t>
                      </w:r>
                      <w:r w:rsidRPr="00396B3B">
                        <w:rPr>
                          <w:rFonts w:ascii="Arial" w:hAnsi="Arial" w:cs="Arial"/>
                          <w:sz w:val="16"/>
                          <w:szCs w:val="16"/>
                        </w:rPr>
                        <w:t>la LGE.</w:t>
                      </w:r>
                    </w:p>
                    <w:p w14:paraId="6A0A97AE" w14:textId="77777777" w:rsidR="00396B3B" w:rsidRPr="00396B3B" w:rsidRDefault="00396B3B" w:rsidP="00396B3B">
                      <w:pPr>
                        <w:jc w:val="both"/>
                        <w:rPr>
                          <w:rFonts w:ascii="Arial" w:hAnsi="Arial" w:cs="Arial"/>
                          <w:sz w:val="16"/>
                          <w:szCs w:val="16"/>
                        </w:rPr>
                      </w:pPr>
                    </w:p>
                    <w:p w14:paraId="3369DC82" w14:textId="3A73EE19" w:rsidR="00396B3B" w:rsidRPr="00396B3B" w:rsidRDefault="00396B3B" w:rsidP="00396B3B">
                      <w:pPr>
                        <w:jc w:val="both"/>
                        <w:rPr>
                          <w:rFonts w:ascii="Arial" w:hAnsi="Arial" w:cs="Arial"/>
                          <w:sz w:val="16"/>
                          <w:szCs w:val="16"/>
                        </w:rPr>
                      </w:pPr>
                      <w:r w:rsidRPr="009A5D90">
                        <w:rPr>
                          <w:rFonts w:ascii="Arial" w:hAnsi="Arial" w:cs="Arial"/>
                          <w:sz w:val="16"/>
                          <w:szCs w:val="16"/>
                        </w:rPr>
                        <w:t xml:space="preserve">Ver artículo </w:t>
                      </w:r>
                      <w:r w:rsidRPr="00F52D63">
                        <w:rPr>
                          <w:rFonts w:ascii="Arial" w:hAnsi="Arial" w:cs="Arial"/>
                          <w:sz w:val="16"/>
                          <w:szCs w:val="16"/>
                        </w:rPr>
                        <w:t>3º</w:t>
                      </w:r>
                      <w:r w:rsidRPr="00F52D63">
                        <w:rPr>
                          <w:rFonts w:ascii="Arial" w:hAnsi="Arial" w:cs="Arial"/>
                          <w:b/>
                          <w:sz w:val="16"/>
                          <w:szCs w:val="16"/>
                        </w:rPr>
                        <w:t xml:space="preserve"> </w:t>
                      </w:r>
                      <w:r w:rsidRPr="00F52D63">
                        <w:rPr>
                          <w:rFonts w:ascii="Arial" w:hAnsi="Arial" w:cs="Arial"/>
                          <w:sz w:val="16"/>
                          <w:szCs w:val="16"/>
                        </w:rPr>
                        <w:t>de</w:t>
                      </w:r>
                      <w:r w:rsidRPr="009A5D90">
                        <w:rPr>
                          <w:rFonts w:ascii="Arial" w:hAnsi="Arial" w:cs="Arial"/>
                          <w:sz w:val="16"/>
                          <w:szCs w:val="16"/>
                        </w:rPr>
                        <w:t xml:space="preserve"> la</w:t>
                      </w:r>
                      <w:r w:rsidRPr="00396B3B">
                        <w:rPr>
                          <w:rFonts w:ascii="Arial" w:hAnsi="Arial" w:cs="Arial"/>
                          <w:sz w:val="16"/>
                          <w:szCs w:val="16"/>
                        </w:rPr>
                        <w:t xml:space="preserve"> </w:t>
                      </w:r>
                      <w:r w:rsidR="004E2338" w:rsidRPr="00242F66">
                        <w:rPr>
                          <w:rFonts w:ascii="Arial" w:hAnsi="Arial" w:cs="Arial"/>
                          <w:sz w:val="16"/>
                          <w:szCs w:val="16"/>
                        </w:rPr>
                        <w:t xml:space="preserve">CPEUM </w:t>
                      </w:r>
                      <w:r w:rsidR="0051633C">
                        <w:rPr>
                          <w:rFonts w:ascii="Arial" w:hAnsi="Arial" w:cs="Arial"/>
                          <w:sz w:val="16"/>
                          <w:szCs w:val="16"/>
                        </w:rPr>
                        <w:t>(</w:t>
                      </w:r>
                      <w:r w:rsidR="004E2338" w:rsidRPr="00242F66">
                        <w:rPr>
                          <w:rFonts w:ascii="Arial" w:hAnsi="Arial" w:cs="Arial"/>
                          <w:sz w:val="16"/>
                          <w:szCs w:val="16"/>
                        </w:rPr>
                        <w:t>201</w:t>
                      </w:r>
                      <w:r w:rsidR="0051633C">
                        <w:rPr>
                          <w:rFonts w:ascii="Arial" w:hAnsi="Arial" w:cs="Arial"/>
                          <w:sz w:val="16"/>
                          <w:szCs w:val="16"/>
                        </w:rPr>
                        <w:t>8</w:t>
                      </w:r>
                      <w:r w:rsidR="002B6C1B" w:rsidRPr="00242F66">
                        <w:rPr>
                          <w:rFonts w:ascii="Arial" w:hAnsi="Arial" w:cs="Arial"/>
                          <w:sz w:val="16"/>
                          <w:szCs w:val="16"/>
                        </w:rPr>
                        <w:t xml:space="preserve">, </w:t>
                      </w:r>
                      <w:r w:rsidR="0051633C">
                        <w:rPr>
                          <w:rFonts w:ascii="Arial" w:hAnsi="Arial" w:cs="Arial"/>
                          <w:sz w:val="16"/>
                          <w:szCs w:val="16"/>
                        </w:rPr>
                        <w:t>27</w:t>
                      </w:r>
                      <w:r w:rsidR="002B6C1B" w:rsidRPr="00242F66">
                        <w:rPr>
                          <w:rFonts w:ascii="Arial" w:hAnsi="Arial" w:cs="Arial"/>
                          <w:sz w:val="16"/>
                          <w:szCs w:val="16"/>
                        </w:rPr>
                        <w:t xml:space="preserve"> de</w:t>
                      </w:r>
                      <w:r w:rsidR="00242F66" w:rsidRPr="00242F66">
                        <w:rPr>
                          <w:rFonts w:ascii="Arial" w:hAnsi="Arial" w:cs="Arial"/>
                          <w:sz w:val="16"/>
                          <w:szCs w:val="16"/>
                        </w:rPr>
                        <w:t xml:space="preserve"> </w:t>
                      </w:r>
                      <w:r w:rsidR="0051633C">
                        <w:rPr>
                          <w:rFonts w:ascii="Arial" w:hAnsi="Arial" w:cs="Arial"/>
                          <w:sz w:val="16"/>
                          <w:szCs w:val="16"/>
                        </w:rPr>
                        <w:t>agosto</w:t>
                      </w:r>
                      <w:r w:rsidRPr="00242F66">
                        <w:rPr>
                          <w:rFonts w:ascii="Arial" w:hAnsi="Arial" w:cs="Arial"/>
                          <w:sz w:val="16"/>
                          <w:szCs w:val="16"/>
                        </w:rPr>
                        <w:t>)</w:t>
                      </w:r>
                      <w:r w:rsidR="0051633C">
                        <w:rPr>
                          <w:rFonts w:ascii="Arial" w:hAnsi="Arial" w:cs="Arial"/>
                          <w:sz w:val="16"/>
                          <w:szCs w:val="16"/>
                        </w:rPr>
                        <w:t>,</w:t>
                      </w:r>
                      <w:r>
                        <w:rPr>
                          <w:rFonts w:ascii="Arial" w:hAnsi="Arial" w:cs="Arial"/>
                          <w:sz w:val="16"/>
                          <w:szCs w:val="16"/>
                        </w:rPr>
                        <w:t xml:space="preserve"> y a</w:t>
                      </w:r>
                      <w:r w:rsidRPr="00396B3B">
                        <w:rPr>
                          <w:rFonts w:ascii="Arial" w:hAnsi="Arial" w:cs="Arial"/>
                          <w:sz w:val="16"/>
                          <w:szCs w:val="16"/>
                        </w:rPr>
                        <w:t>rtículo</w:t>
                      </w:r>
                      <w:r w:rsidR="0051633C">
                        <w:rPr>
                          <w:rFonts w:ascii="Arial" w:hAnsi="Arial" w:cs="Arial"/>
                          <w:sz w:val="16"/>
                          <w:szCs w:val="16"/>
                        </w:rPr>
                        <w:t>s</w:t>
                      </w:r>
                      <w:r w:rsidRPr="00396B3B">
                        <w:rPr>
                          <w:rFonts w:ascii="Arial" w:hAnsi="Arial" w:cs="Arial"/>
                          <w:sz w:val="16"/>
                          <w:szCs w:val="16"/>
                        </w:rPr>
                        <w:t xml:space="preserve"> 4º y 8º</w:t>
                      </w:r>
                      <w:r w:rsidR="0051633C">
                        <w:rPr>
                          <w:rFonts w:ascii="Arial" w:hAnsi="Arial" w:cs="Arial"/>
                          <w:sz w:val="16"/>
                          <w:szCs w:val="16"/>
                        </w:rPr>
                        <w:t>,</w:t>
                      </w:r>
                      <w:r w:rsidRPr="00396B3B">
                        <w:rPr>
                          <w:rFonts w:ascii="Arial" w:hAnsi="Arial" w:cs="Arial"/>
                          <w:sz w:val="16"/>
                          <w:szCs w:val="16"/>
                        </w:rPr>
                        <w:t xml:space="preserve"> fracción I</w:t>
                      </w:r>
                      <w:r w:rsidR="0051633C">
                        <w:rPr>
                          <w:rFonts w:ascii="Arial" w:hAnsi="Arial" w:cs="Arial"/>
                          <w:sz w:val="16"/>
                          <w:szCs w:val="16"/>
                        </w:rPr>
                        <w:t>,</w:t>
                      </w:r>
                      <w:r w:rsidRPr="00396B3B">
                        <w:rPr>
                          <w:rFonts w:ascii="Arial" w:hAnsi="Arial" w:cs="Arial"/>
                          <w:sz w:val="16"/>
                          <w:szCs w:val="16"/>
                        </w:rPr>
                        <w:t xml:space="preserve"> de la </w:t>
                      </w:r>
                      <w:r w:rsidR="004E2338" w:rsidRPr="00242F66">
                        <w:rPr>
                          <w:rFonts w:ascii="Arial" w:hAnsi="Arial" w:cs="Arial"/>
                          <w:sz w:val="16"/>
                          <w:szCs w:val="16"/>
                        </w:rPr>
                        <w:t>LGE</w:t>
                      </w:r>
                      <w:r w:rsidR="0051633C">
                        <w:rPr>
                          <w:rFonts w:ascii="Arial" w:hAnsi="Arial" w:cs="Arial"/>
                          <w:sz w:val="16"/>
                          <w:szCs w:val="16"/>
                        </w:rPr>
                        <w:t xml:space="preserve"> (</w:t>
                      </w:r>
                      <w:r w:rsidR="00242F66" w:rsidRPr="00242F66">
                        <w:rPr>
                          <w:rFonts w:ascii="Arial" w:hAnsi="Arial" w:cs="Arial"/>
                          <w:sz w:val="16"/>
                          <w:szCs w:val="16"/>
                        </w:rPr>
                        <w:t>201</w:t>
                      </w:r>
                      <w:r w:rsidR="0051633C">
                        <w:rPr>
                          <w:rFonts w:ascii="Arial" w:hAnsi="Arial" w:cs="Arial"/>
                          <w:sz w:val="16"/>
                          <w:szCs w:val="16"/>
                        </w:rPr>
                        <w:t>8</w:t>
                      </w:r>
                      <w:r w:rsidRPr="00242F66">
                        <w:rPr>
                          <w:rFonts w:ascii="Arial" w:hAnsi="Arial" w:cs="Arial"/>
                          <w:sz w:val="16"/>
                          <w:szCs w:val="16"/>
                        </w:rPr>
                        <w:t>,</w:t>
                      </w:r>
                      <w:r w:rsidR="00CB41C7" w:rsidRPr="00242F66">
                        <w:rPr>
                          <w:rFonts w:ascii="Arial" w:hAnsi="Arial" w:cs="Arial"/>
                          <w:sz w:val="16"/>
                          <w:szCs w:val="16"/>
                        </w:rPr>
                        <w:t xml:space="preserve"> </w:t>
                      </w:r>
                      <w:r w:rsidR="0051633C">
                        <w:rPr>
                          <w:rFonts w:ascii="Arial" w:hAnsi="Arial" w:cs="Arial"/>
                          <w:sz w:val="16"/>
                          <w:szCs w:val="16"/>
                        </w:rPr>
                        <w:t>19</w:t>
                      </w:r>
                      <w:r w:rsidR="0051633C" w:rsidRPr="00242F66">
                        <w:rPr>
                          <w:rFonts w:ascii="Arial" w:hAnsi="Arial" w:cs="Arial"/>
                          <w:sz w:val="16"/>
                          <w:szCs w:val="16"/>
                        </w:rPr>
                        <w:t xml:space="preserve"> </w:t>
                      </w:r>
                      <w:r w:rsidR="00CB41C7" w:rsidRPr="00242F66">
                        <w:rPr>
                          <w:rFonts w:ascii="Arial" w:hAnsi="Arial" w:cs="Arial"/>
                          <w:sz w:val="16"/>
                          <w:szCs w:val="16"/>
                        </w:rPr>
                        <w:t xml:space="preserve">de </w:t>
                      </w:r>
                      <w:r w:rsidR="0051633C">
                        <w:rPr>
                          <w:rFonts w:ascii="Arial" w:hAnsi="Arial" w:cs="Arial"/>
                          <w:sz w:val="16"/>
                          <w:szCs w:val="16"/>
                        </w:rPr>
                        <w:t>enero</w:t>
                      </w:r>
                      <w:r w:rsidRPr="00242F66">
                        <w:rPr>
                          <w:rFonts w:ascii="Arial" w:hAnsi="Arial" w:cs="Arial"/>
                          <w:sz w:val="16"/>
                          <w:szCs w:val="16"/>
                        </w:rPr>
                        <w:t>).</w:t>
                      </w:r>
                    </w:p>
                    <w:p w14:paraId="7F3D2916" w14:textId="77777777" w:rsidR="00396B3B" w:rsidRPr="00396B3B" w:rsidRDefault="00396B3B" w:rsidP="00396B3B">
                      <w:pPr>
                        <w:jc w:val="both"/>
                        <w:rPr>
                          <w:rFonts w:ascii="Arial" w:hAnsi="Arial" w:cs="Arial"/>
                          <w:sz w:val="16"/>
                          <w:szCs w:val="16"/>
                        </w:rPr>
                      </w:pPr>
                    </w:p>
                    <w:p w14:paraId="685E243B" w14:textId="5332C63D" w:rsidR="00396B3B" w:rsidRDefault="00396B3B" w:rsidP="00396B3B">
                      <w:pPr>
                        <w:rPr>
                          <w:rFonts w:ascii="Arial" w:hAnsi="Arial" w:cs="Arial"/>
                          <w:b/>
                          <w:sz w:val="18"/>
                          <w:szCs w:val="16"/>
                        </w:rPr>
                      </w:pPr>
                      <w:r w:rsidRPr="00396B3B">
                        <w:rPr>
                          <w:rFonts w:ascii="Arial" w:hAnsi="Arial" w:cs="Arial"/>
                          <w:b/>
                          <w:sz w:val="18"/>
                          <w:szCs w:val="16"/>
                        </w:rPr>
                        <w:t>Información de referencia</w:t>
                      </w:r>
                    </w:p>
                    <w:p w14:paraId="5DEBE4F4" w14:textId="3DBB59D4" w:rsidR="009E2073" w:rsidRDefault="009E2073" w:rsidP="00396B3B">
                      <w:pPr>
                        <w:rPr>
                          <w:rFonts w:ascii="Arial" w:hAnsi="Arial" w:cs="Arial"/>
                          <w:b/>
                          <w:sz w:val="18"/>
                          <w:szCs w:val="16"/>
                        </w:rPr>
                      </w:pPr>
                    </w:p>
                    <w:p w14:paraId="7D5C2FDD" w14:textId="33746026" w:rsidR="009E2073" w:rsidRDefault="009E2073" w:rsidP="00396B3B">
                      <w:r>
                        <w:rPr>
                          <w:sz w:val="18"/>
                        </w:rPr>
                        <w:fldChar w:fldCharType="begin"/>
                      </w:r>
                      <w:r>
                        <w:rPr>
                          <w:sz w:val="18"/>
                        </w:rPr>
                        <w:instrText xml:space="preserve"> LINK Excel.Sheet.12 "Libro2" "Hoja1!F3C1:F15C5" \a \f 4 \h  \* MERGEFORMAT </w:instrText>
                      </w:r>
                      <w:r>
                        <w:rPr>
                          <w:sz w:val="18"/>
                        </w:rPr>
                        <w:fldChar w:fldCharType="separate"/>
                      </w:r>
                    </w:p>
                    <w:tbl>
                      <w:tblPr>
                        <w:tblW w:w="9356" w:type="dxa"/>
                        <w:tblCellMar>
                          <w:left w:w="70" w:type="dxa"/>
                          <w:right w:w="70" w:type="dxa"/>
                        </w:tblCellMar>
                        <w:tblLook w:val="04A0" w:firstRow="1" w:lastRow="0" w:firstColumn="1" w:lastColumn="0" w:noHBand="0" w:noVBand="1"/>
                      </w:tblPr>
                      <w:tblGrid>
                        <w:gridCol w:w="2835"/>
                        <w:gridCol w:w="2127"/>
                        <w:gridCol w:w="1417"/>
                        <w:gridCol w:w="1418"/>
                        <w:gridCol w:w="1559"/>
                      </w:tblGrid>
                      <w:tr w:rsidR="009E2073" w:rsidRPr="009E2073" w14:paraId="6C45CFA9" w14:textId="77777777" w:rsidTr="00DD6052">
                        <w:trPr>
                          <w:trHeight w:val="450"/>
                        </w:trPr>
                        <w:tc>
                          <w:tcPr>
                            <w:tcW w:w="9356" w:type="dxa"/>
                            <w:gridSpan w:val="5"/>
                            <w:tcBorders>
                              <w:top w:val="single" w:sz="8" w:space="0" w:color="auto"/>
                              <w:left w:val="nil"/>
                              <w:bottom w:val="single" w:sz="4" w:space="0" w:color="auto"/>
                              <w:right w:val="nil"/>
                            </w:tcBorders>
                            <w:shd w:val="clear" w:color="auto" w:fill="auto"/>
                            <w:vAlign w:val="center"/>
                            <w:hideMark/>
                          </w:tcPr>
                          <w:p w14:paraId="43569959" w14:textId="0C82196A"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Tasa de ocupación de la población entre 25 y 64 años por país seleccionado</w:t>
                            </w:r>
                            <w:r w:rsidR="0051633C">
                              <w:rPr>
                                <w:rFonts w:ascii="Arial" w:hAnsi="Arial" w:cs="Arial"/>
                                <w:b/>
                                <w:bCs/>
                                <w:color w:val="000000"/>
                                <w:sz w:val="16"/>
                                <w:szCs w:val="16"/>
                              </w:rPr>
                              <w:t xml:space="preserve"> </w:t>
                            </w:r>
                            <w:r w:rsidR="00DD6052">
                              <w:rPr>
                                <w:rFonts w:ascii="Arial" w:hAnsi="Arial" w:cs="Arial"/>
                                <w:b/>
                                <w:bCs/>
                                <w:color w:val="000000"/>
                                <w:sz w:val="16"/>
                                <w:szCs w:val="16"/>
                              </w:rPr>
                              <w:t>según nivel de escolaridad (2017</w:t>
                            </w:r>
                            <w:r w:rsidRPr="009E2073">
                              <w:rPr>
                                <w:rFonts w:ascii="Arial" w:hAnsi="Arial" w:cs="Arial"/>
                                <w:b/>
                                <w:bCs/>
                                <w:color w:val="000000"/>
                                <w:sz w:val="16"/>
                                <w:szCs w:val="16"/>
                              </w:rPr>
                              <w:t>)</w:t>
                            </w:r>
                          </w:p>
                        </w:tc>
                      </w:tr>
                      <w:tr w:rsidR="009E2073" w:rsidRPr="009E2073" w14:paraId="569A1196" w14:textId="77777777" w:rsidTr="00DD6052">
                        <w:trPr>
                          <w:trHeight w:val="315"/>
                        </w:trPr>
                        <w:tc>
                          <w:tcPr>
                            <w:tcW w:w="2835" w:type="dxa"/>
                            <w:vMerge w:val="restart"/>
                            <w:tcBorders>
                              <w:top w:val="single" w:sz="4" w:space="0" w:color="auto"/>
                              <w:left w:val="nil"/>
                              <w:bottom w:val="nil"/>
                              <w:right w:val="nil"/>
                            </w:tcBorders>
                            <w:shd w:val="clear" w:color="000000" w:fill="FFFFFF"/>
                            <w:vAlign w:val="center"/>
                            <w:hideMark/>
                          </w:tcPr>
                          <w:p w14:paraId="4D3C688D"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País</w:t>
                            </w:r>
                          </w:p>
                        </w:tc>
                        <w:tc>
                          <w:tcPr>
                            <w:tcW w:w="6521" w:type="dxa"/>
                            <w:gridSpan w:val="4"/>
                            <w:tcBorders>
                              <w:top w:val="single" w:sz="4" w:space="0" w:color="auto"/>
                              <w:left w:val="nil"/>
                              <w:bottom w:val="single" w:sz="8" w:space="0" w:color="auto"/>
                              <w:right w:val="nil"/>
                            </w:tcBorders>
                            <w:shd w:val="clear" w:color="000000" w:fill="FFFFFF"/>
                            <w:vAlign w:val="center"/>
                            <w:hideMark/>
                          </w:tcPr>
                          <w:p w14:paraId="2183C144"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Nivel de escolaridad</w:t>
                            </w:r>
                          </w:p>
                        </w:tc>
                      </w:tr>
                      <w:tr w:rsidR="009E2073" w:rsidRPr="009E2073" w14:paraId="5178E791" w14:textId="77777777" w:rsidTr="009E2073">
                        <w:trPr>
                          <w:trHeight w:val="675"/>
                        </w:trPr>
                        <w:tc>
                          <w:tcPr>
                            <w:tcW w:w="2835" w:type="dxa"/>
                            <w:vMerge/>
                            <w:tcBorders>
                              <w:top w:val="nil"/>
                              <w:left w:val="nil"/>
                              <w:bottom w:val="nil"/>
                              <w:right w:val="nil"/>
                            </w:tcBorders>
                            <w:vAlign w:val="center"/>
                            <w:hideMark/>
                          </w:tcPr>
                          <w:p w14:paraId="6FA1970F" w14:textId="77777777" w:rsidR="009E2073" w:rsidRPr="009E2073" w:rsidRDefault="009E2073" w:rsidP="009E2073">
                            <w:pPr>
                              <w:rPr>
                                <w:rFonts w:ascii="Arial" w:hAnsi="Arial" w:cs="Arial"/>
                                <w:b/>
                                <w:bCs/>
                                <w:color w:val="000000"/>
                                <w:sz w:val="16"/>
                                <w:szCs w:val="16"/>
                              </w:rPr>
                            </w:pPr>
                          </w:p>
                        </w:tc>
                        <w:tc>
                          <w:tcPr>
                            <w:tcW w:w="2127" w:type="dxa"/>
                            <w:tcBorders>
                              <w:top w:val="nil"/>
                              <w:left w:val="nil"/>
                              <w:bottom w:val="nil"/>
                              <w:right w:val="nil"/>
                            </w:tcBorders>
                            <w:shd w:val="clear" w:color="000000" w:fill="FFFFFF"/>
                            <w:vAlign w:val="center"/>
                            <w:hideMark/>
                          </w:tcPr>
                          <w:p w14:paraId="252D060C" w14:textId="7615B34C"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 xml:space="preserve">Menos que </w:t>
                            </w:r>
                            <w:r w:rsidR="0051633C">
                              <w:rPr>
                                <w:rFonts w:ascii="Arial" w:hAnsi="Arial" w:cs="Arial"/>
                                <w:b/>
                                <w:bCs/>
                                <w:color w:val="000000"/>
                                <w:sz w:val="16"/>
                                <w:szCs w:val="16"/>
                              </w:rPr>
                              <w:t>m</w:t>
                            </w:r>
                            <w:r w:rsidRPr="009E2073">
                              <w:rPr>
                                <w:rFonts w:ascii="Arial" w:hAnsi="Arial" w:cs="Arial"/>
                                <w:b/>
                                <w:bCs/>
                                <w:color w:val="000000"/>
                                <w:sz w:val="16"/>
                                <w:szCs w:val="16"/>
                              </w:rPr>
                              <w:t>edia superior</w:t>
                            </w:r>
                          </w:p>
                        </w:tc>
                        <w:tc>
                          <w:tcPr>
                            <w:tcW w:w="1417" w:type="dxa"/>
                            <w:tcBorders>
                              <w:top w:val="nil"/>
                              <w:left w:val="nil"/>
                              <w:bottom w:val="nil"/>
                              <w:right w:val="nil"/>
                            </w:tcBorders>
                            <w:shd w:val="clear" w:color="000000" w:fill="FFFFFF"/>
                            <w:vAlign w:val="center"/>
                            <w:hideMark/>
                          </w:tcPr>
                          <w:p w14:paraId="4B4DCDE7"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Media superior</w:t>
                            </w:r>
                            <w:r w:rsidRPr="009E2073">
                              <w:rPr>
                                <w:rFonts w:ascii="Arial" w:hAnsi="Arial" w:cs="Arial"/>
                                <w:b/>
                                <w:bCs/>
                                <w:color w:val="000000"/>
                                <w:sz w:val="16"/>
                                <w:szCs w:val="16"/>
                                <w:vertAlign w:val="superscript"/>
                              </w:rPr>
                              <w:t>1</w:t>
                            </w:r>
                          </w:p>
                        </w:tc>
                        <w:tc>
                          <w:tcPr>
                            <w:tcW w:w="1418" w:type="dxa"/>
                            <w:tcBorders>
                              <w:top w:val="nil"/>
                              <w:left w:val="nil"/>
                              <w:bottom w:val="nil"/>
                              <w:right w:val="nil"/>
                            </w:tcBorders>
                            <w:shd w:val="clear" w:color="000000" w:fill="FFFFFF"/>
                            <w:vAlign w:val="center"/>
                            <w:hideMark/>
                          </w:tcPr>
                          <w:p w14:paraId="02E10511"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Superior</w:t>
                            </w:r>
                            <w:r w:rsidRPr="009E2073">
                              <w:rPr>
                                <w:rFonts w:ascii="Arial" w:hAnsi="Arial" w:cs="Arial"/>
                                <w:b/>
                                <w:bCs/>
                                <w:color w:val="000000"/>
                                <w:sz w:val="16"/>
                                <w:szCs w:val="16"/>
                                <w:vertAlign w:val="superscript"/>
                              </w:rPr>
                              <w:t>2</w:t>
                            </w:r>
                          </w:p>
                        </w:tc>
                        <w:tc>
                          <w:tcPr>
                            <w:tcW w:w="1559" w:type="dxa"/>
                            <w:tcBorders>
                              <w:top w:val="nil"/>
                              <w:left w:val="nil"/>
                              <w:bottom w:val="nil"/>
                              <w:right w:val="nil"/>
                            </w:tcBorders>
                            <w:shd w:val="clear" w:color="000000" w:fill="FFFFFF"/>
                            <w:vAlign w:val="center"/>
                            <w:hideMark/>
                          </w:tcPr>
                          <w:p w14:paraId="0D8C111B" w14:textId="77777777" w:rsidR="009E2073" w:rsidRPr="009E2073" w:rsidRDefault="009E2073" w:rsidP="009E2073">
                            <w:pPr>
                              <w:jc w:val="center"/>
                              <w:rPr>
                                <w:rFonts w:ascii="Arial" w:hAnsi="Arial" w:cs="Arial"/>
                                <w:b/>
                                <w:bCs/>
                                <w:color w:val="000000"/>
                                <w:sz w:val="16"/>
                                <w:szCs w:val="16"/>
                              </w:rPr>
                            </w:pPr>
                            <w:r w:rsidRPr="009E2073">
                              <w:rPr>
                                <w:rFonts w:ascii="Arial" w:hAnsi="Arial" w:cs="Arial"/>
                                <w:b/>
                                <w:bCs/>
                                <w:color w:val="000000"/>
                                <w:sz w:val="16"/>
                                <w:szCs w:val="16"/>
                              </w:rPr>
                              <w:t>Todos los niveles</w:t>
                            </w:r>
                          </w:p>
                        </w:tc>
                      </w:tr>
                      <w:tr w:rsidR="009E2073" w:rsidRPr="009E2073" w14:paraId="5711696C" w14:textId="77777777" w:rsidTr="009E2073">
                        <w:trPr>
                          <w:trHeight w:val="300"/>
                        </w:trPr>
                        <w:tc>
                          <w:tcPr>
                            <w:tcW w:w="2835" w:type="dxa"/>
                            <w:tcBorders>
                              <w:top w:val="nil"/>
                              <w:left w:val="nil"/>
                              <w:bottom w:val="nil"/>
                              <w:right w:val="nil"/>
                            </w:tcBorders>
                            <w:shd w:val="clear" w:color="000000" w:fill="FFFFFF"/>
                            <w:vAlign w:val="center"/>
                            <w:hideMark/>
                          </w:tcPr>
                          <w:p w14:paraId="26587D58"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Canadá</w:t>
                            </w:r>
                          </w:p>
                        </w:tc>
                        <w:tc>
                          <w:tcPr>
                            <w:tcW w:w="2127" w:type="dxa"/>
                            <w:tcBorders>
                              <w:top w:val="nil"/>
                              <w:left w:val="nil"/>
                              <w:bottom w:val="nil"/>
                              <w:right w:val="nil"/>
                            </w:tcBorders>
                            <w:shd w:val="clear" w:color="auto" w:fill="auto"/>
                            <w:noWrap/>
                            <w:vAlign w:val="center"/>
                          </w:tcPr>
                          <w:p w14:paraId="2BCD6061" w14:textId="28A8BB06" w:rsidR="009E2073" w:rsidRPr="009E2073" w:rsidRDefault="009E2073" w:rsidP="009E2073">
                            <w:pPr>
                              <w:jc w:val="center"/>
                              <w:rPr>
                                <w:rFonts w:ascii="Arial" w:hAnsi="Arial" w:cs="Arial"/>
                                <w:color w:val="000000"/>
                                <w:sz w:val="16"/>
                                <w:szCs w:val="16"/>
                              </w:rPr>
                            </w:pPr>
                            <w:r>
                              <w:rPr>
                                <w:rFonts w:ascii="Arial" w:hAnsi="Arial" w:cs="Arial"/>
                                <w:color w:val="000000"/>
                                <w:sz w:val="16"/>
                                <w:szCs w:val="16"/>
                              </w:rPr>
                              <w:t>55</w:t>
                            </w:r>
                            <w:r w:rsidR="00DD6052">
                              <w:rPr>
                                <w:rFonts w:ascii="Arial" w:hAnsi="Arial" w:cs="Arial"/>
                                <w:color w:val="000000"/>
                                <w:sz w:val="16"/>
                                <w:szCs w:val="16"/>
                              </w:rPr>
                              <w:t>.8</w:t>
                            </w:r>
                          </w:p>
                        </w:tc>
                        <w:tc>
                          <w:tcPr>
                            <w:tcW w:w="1417" w:type="dxa"/>
                            <w:tcBorders>
                              <w:top w:val="nil"/>
                              <w:left w:val="nil"/>
                              <w:bottom w:val="nil"/>
                              <w:right w:val="nil"/>
                            </w:tcBorders>
                            <w:shd w:val="clear" w:color="auto" w:fill="auto"/>
                            <w:noWrap/>
                            <w:vAlign w:val="center"/>
                          </w:tcPr>
                          <w:p w14:paraId="00F720B0" w14:textId="279384A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74.1</w:t>
                            </w:r>
                          </w:p>
                        </w:tc>
                        <w:tc>
                          <w:tcPr>
                            <w:tcW w:w="1418" w:type="dxa"/>
                            <w:tcBorders>
                              <w:top w:val="nil"/>
                              <w:left w:val="nil"/>
                              <w:bottom w:val="nil"/>
                              <w:right w:val="nil"/>
                            </w:tcBorders>
                            <w:shd w:val="clear" w:color="auto" w:fill="auto"/>
                            <w:noWrap/>
                            <w:vAlign w:val="center"/>
                          </w:tcPr>
                          <w:p w14:paraId="23ADC34D" w14:textId="343DE3D7"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82.5</w:t>
                            </w:r>
                          </w:p>
                        </w:tc>
                        <w:tc>
                          <w:tcPr>
                            <w:tcW w:w="1559" w:type="dxa"/>
                            <w:tcBorders>
                              <w:top w:val="nil"/>
                              <w:left w:val="nil"/>
                              <w:bottom w:val="nil"/>
                              <w:right w:val="nil"/>
                            </w:tcBorders>
                            <w:shd w:val="clear" w:color="auto" w:fill="auto"/>
                            <w:noWrap/>
                            <w:vAlign w:val="center"/>
                          </w:tcPr>
                          <w:p w14:paraId="5C2A1FC3" w14:textId="61699F4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77.2</w:t>
                            </w:r>
                          </w:p>
                        </w:tc>
                      </w:tr>
                      <w:tr w:rsidR="009E2073" w:rsidRPr="009E2073" w14:paraId="4196B064" w14:textId="77777777" w:rsidTr="009E2073">
                        <w:trPr>
                          <w:trHeight w:val="300"/>
                        </w:trPr>
                        <w:tc>
                          <w:tcPr>
                            <w:tcW w:w="2835" w:type="dxa"/>
                            <w:tcBorders>
                              <w:top w:val="nil"/>
                              <w:left w:val="nil"/>
                              <w:bottom w:val="nil"/>
                              <w:right w:val="nil"/>
                            </w:tcBorders>
                            <w:shd w:val="clear" w:color="000000" w:fill="FFFFFF"/>
                            <w:vAlign w:val="center"/>
                            <w:hideMark/>
                          </w:tcPr>
                          <w:p w14:paraId="520633D8"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Chile</w:t>
                            </w:r>
                          </w:p>
                        </w:tc>
                        <w:tc>
                          <w:tcPr>
                            <w:tcW w:w="2127" w:type="dxa"/>
                            <w:tcBorders>
                              <w:top w:val="nil"/>
                              <w:left w:val="nil"/>
                              <w:bottom w:val="nil"/>
                              <w:right w:val="nil"/>
                            </w:tcBorders>
                            <w:shd w:val="clear" w:color="auto" w:fill="auto"/>
                            <w:vAlign w:val="center"/>
                          </w:tcPr>
                          <w:p w14:paraId="52FFB69E" w14:textId="77D20124" w:rsidR="009E2073" w:rsidRPr="009E2073" w:rsidRDefault="009E2073" w:rsidP="009E2073">
                            <w:pPr>
                              <w:jc w:val="center"/>
                              <w:rPr>
                                <w:rFonts w:ascii="Arial" w:hAnsi="Arial" w:cs="Arial"/>
                                <w:color w:val="000000"/>
                                <w:sz w:val="16"/>
                                <w:szCs w:val="16"/>
                              </w:rPr>
                            </w:pPr>
                            <w:r>
                              <w:rPr>
                                <w:rFonts w:ascii="Arial" w:hAnsi="Arial" w:cs="Arial"/>
                                <w:color w:val="000000"/>
                                <w:sz w:val="16"/>
                                <w:szCs w:val="16"/>
                              </w:rPr>
                              <w:t>62</w:t>
                            </w:r>
                            <w:r w:rsidR="00DD6052">
                              <w:rPr>
                                <w:rFonts w:ascii="Arial" w:hAnsi="Arial" w:cs="Arial"/>
                                <w:color w:val="000000"/>
                                <w:sz w:val="16"/>
                                <w:szCs w:val="16"/>
                              </w:rPr>
                              <w:t>.2</w:t>
                            </w:r>
                          </w:p>
                        </w:tc>
                        <w:tc>
                          <w:tcPr>
                            <w:tcW w:w="1417" w:type="dxa"/>
                            <w:tcBorders>
                              <w:top w:val="nil"/>
                              <w:left w:val="nil"/>
                              <w:bottom w:val="nil"/>
                              <w:right w:val="nil"/>
                            </w:tcBorders>
                            <w:shd w:val="clear" w:color="auto" w:fill="auto"/>
                            <w:vAlign w:val="center"/>
                          </w:tcPr>
                          <w:p w14:paraId="370D9A60" w14:textId="17E19B60"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71.8</w:t>
                            </w:r>
                          </w:p>
                        </w:tc>
                        <w:tc>
                          <w:tcPr>
                            <w:tcW w:w="1418" w:type="dxa"/>
                            <w:tcBorders>
                              <w:top w:val="nil"/>
                              <w:left w:val="nil"/>
                              <w:bottom w:val="nil"/>
                              <w:right w:val="nil"/>
                            </w:tcBorders>
                            <w:shd w:val="clear" w:color="auto" w:fill="auto"/>
                            <w:vAlign w:val="center"/>
                          </w:tcPr>
                          <w:p w14:paraId="1FE81996" w14:textId="42FD9DAD"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84.4</w:t>
                            </w:r>
                          </w:p>
                        </w:tc>
                        <w:tc>
                          <w:tcPr>
                            <w:tcW w:w="1559" w:type="dxa"/>
                            <w:tcBorders>
                              <w:top w:val="nil"/>
                              <w:left w:val="nil"/>
                              <w:bottom w:val="nil"/>
                              <w:right w:val="nil"/>
                            </w:tcBorders>
                            <w:shd w:val="clear" w:color="auto" w:fill="auto"/>
                            <w:vAlign w:val="center"/>
                          </w:tcPr>
                          <w:p w14:paraId="262A58A0" w14:textId="37C061D1" w:rsidR="009E2073" w:rsidRPr="009E2073" w:rsidRDefault="00731F55" w:rsidP="009E2073">
                            <w:pPr>
                              <w:jc w:val="center"/>
                              <w:rPr>
                                <w:rFonts w:ascii="Arial" w:hAnsi="Arial" w:cs="Arial"/>
                                <w:color w:val="000000"/>
                                <w:sz w:val="16"/>
                                <w:szCs w:val="16"/>
                              </w:rPr>
                            </w:pPr>
                            <w:r>
                              <w:rPr>
                                <w:rFonts w:ascii="Arial" w:hAnsi="Arial" w:cs="Arial"/>
                                <w:color w:val="000000"/>
                                <w:sz w:val="16"/>
                                <w:szCs w:val="16"/>
                              </w:rPr>
                              <w:t>71</w:t>
                            </w:r>
                            <w:r w:rsidR="000A29BD">
                              <w:rPr>
                                <w:rFonts w:ascii="Arial" w:hAnsi="Arial" w:cs="Arial"/>
                                <w:color w:val="000000"/>
                                <w:sz w:val="16"/>
                                <w:szCs w:val="16"/>
                              </w:rPr>
                              <w:t>.2</w:t>
                            </w:r>
                          </w:p>
                        </w:tc>
                      </w:tr>
                      <w:tr w:rsidR="009E2073" w:rsidRPr="009E2073" w14:paraId="77219147" w14:textId="77777777" w:rsidTr="009E2073">
                        <w:trPr>
                          <w:trHeight w:val="300"/>
                        </w:trPr>
                        <w:tc>
                          <w:tcPr>
                            <w:tcW w:w="2835" w:type="dxa"/>
                            <w:tcBorders>
                              <w:top w:val="nil"/>
                              <w:left w:val="nil"/>
                              <w:bottom w:val="nil"/>
                              <w:right w:val="nil"/>
                            </w:tcBorders>
                            <w:shd w:val="clear" w:color="000000" w:fill="FFFFFF"/>
                            <w:vAlign w:val="center"/>
                            <w:hideMark/>
                          </w:tcPr>
                          <w:p w14:paraId="683D4DB4"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España</w:t>
                            </w:r>
                          </w:p>
                        </w:tc>
                        <w:tc>
                          <w:tcPr>
                            <w:tcW w:w="2127" w:type="dxa"/>
                            <w:tcBorders>
                              <w:top w:val="nil"/>
                              <w:left w:val="nil"/>
                              <w:bottom w:val="nil"/>
                              <w:right w:val="nil"/>
                            </w:tcBorders>
                            <w:shd w:val="clear" w:color="auto" w:fill="auto"/>
                            <w:noWrap/>
                            <w:vAlign w:val="center"/>
                          </w:tcPr>
                          <w:p w14:paraId="12DAF119" w14:textId="2F3D4ED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55.5</w:t>
                            </w:r>
                          </w:p>
                        </w:tc>
                        <w:tc>
                          <w:tcPr>
                            <w:tcW w:w="1417" w:type="dxa"/>
                            <w:tcBorders>
                              <w:top w:val="nil"/>
                              <w:left w:val="nil"/>
                              <w:bottom w:val="nil"/>
                              <w:right w:val="nil"/>
                            </w:tcBorders>
                            <w:shd w:val="clear" w:color="auto" w:fill="auto"/>
                            <w:noWrap/>
                            <w:vAlign w:val="center"/>
                          </w:tcPr>
                          <w:p w14:paraId="74600579" w14:textId="2DDA9714"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70.2</w:t>
                            </w:r>
                          </w:p>
                        </w:tc>
                        <w:tc>
                          <w:tcPr>
                            <w:tcW w:w="1418" w:type="dxa"/>
                            <w:tcBorders>
                              <w:top w:val="nil"/>
                              <w:left w:val="nil"/>
                              <w:bottom w:val="nil"/>
                              <w:right w:val="nil"/>
                            </w:tcBorders>
                            <w:shd w:val="clear" w:color="auto" w:fill="auto"/>
                            <w:noWrap/>
                            <w:vAlign w:val="center"/>
                          </w:tcPr>
                          <w:p w14:paraId="22BEF868" w14:textId="34117DA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80.9</w:t>
                            </w:r>
                          </w:p>
                        </w:tc>
                        <w:tc>
                          <w:tcPr>
                            <w:tcW w:w="1559" w:type="dxa"/>
                            <w:tcBorders>
                              <w:top w:val="nil"/>
                              <w:left w:val="nil"/>
                              <w:bottom w:val="nil"/>
                              <w:right w:val="nil"/>
                            </w:tcBorders>
                            <w:shd w:val="clear" w:color="auto" w:fill="auto"/>
                            <w:noWrap/>
                            <w:vAlign w:val="center"/>
                          </w:tcPr>
                          <w:p w14:paraId="134C7497" w14:textId="27481CE6"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68.1</w:t>
                            </w:r>
                          </w:p>
                        </w:tc>
                      </w:tr>
                      <w:tr w:rsidR="009E2073" w:rsidRPr="009E2073" w14:paraId="3D317722" w14:textId="77777777" w:rsidTr="009E2073">
                        <w:trPr>
                          <w:trHeight w:val="450"/>
                        </w:trPr>
                        <w:tc>
                          <w:tcPr>
                            <w:tcW w:w="2835" w:type="dxa"/>
                            <w:tcBorders>
                              <w:top w:val="nil"/>
                              <w:left w:val="nil"/>
                              <w:bottom w:val="nil"/>
                              <w:right w:val="nil"/>
                            </w:tcBorders>
                            <w:shd w:val="clear" w:color="000000" w:fill="FFFFFF"/>
                            <w:vAlign w:val="center"/>
                            <w:hideMark/>
                          </w:tcPr>
                          <w:p w14:paraId="5DCF5B7C"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Estados Unidos</w:t>
                            </w:r>
                          </w:p>
                        </w:tc>
                        <w:tc>
                          <w:tcPr>
                            <w:tcW w:w="2127" w:type="dxa"/>
                            <w:tcBorders>
                              <w:top w:val="nil"/>
                              <w:left w:val="nil"/>
                              <w:bottom w:val="nil"/>
                              <w:right w:val="nil"/>
                            </w:tcBorders>
                            <w:shd w:val="clear" w:color="auto" w:fill="auto"/>
                            <w:noWrap/>
                            <w:vAlign w:val="center"/>
                          </w:tcPr>
                          <w:p w14:paraId="76F58646" w14:textId="3C4FA68C"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55.6</w:t>
                            </w:r>
                          </w:p>
                        </w:tc>
                        <w:tc>
                          <w:tcPr>
                            <w:tcW w:w="1417" w:type="dxa"/>
                            <w:tcBorders>
                              <w:top w:val="nil"/>
                              <w:left w:val="nil"/>
                              <w:bottom w:val="nil"/>
                              <w:right w:val="nil"/>
                            </w:tcBorders>
                            <w:shd w:val="clear" w:color="auto" w:fill="auto"/>
                            <w:noWrap/>
                            <w:vAlign w:val="center"/>
                          </w:tcPr>
                          <w:p w14:paraId="442D30A7" w14:textId="5290FB8E"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70.0</w:t>
                            </w:r>
                          </w:p>
                        </w:tc>
                        <w:tc>
                          <w:tcPr>
                            <w:tcW w:w="1418" w:type="dxa"/>
                            <w:tcBorders>
                              <w:top w:val="nil"/>
                              <w:left w:val="nil"/>
                              <w:bottom w:val="nil"/>
                              <w:right w:val="nil"/>
                            </w:tcBorders>
                            <w:shd w:val="clear" w:color="auto" w:fill="auto"/>
                            <w:noWrap/>
                            <w:vAlign w:val="center"/>
                          </w:tcPr>
                          <w:p w14:paraId="14B04F03" w14:textId="11A6AFDF"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81.8</w:t>
                            </w:r>
                          </w:p>
                        </w:tc>
                        <w:tc>
                          <w:tcPr>
                            <w:tcW w:w="1559" w:type="dxa"/>
                            <w:tcBorders>
                              <w:top w:val="nil"/>
                              <w:left w:val="nil"/>
                              <w:bottom w:val="nil"/>
                              <w:right w:val="nil"/>
                            </w:tcBorders>
                            <w:shd w:val="clear" w:color="auto" w:fill="auto"/>
                            <w:noWrap/>
                            <w:vAlign w:val="center"/>
                          </w:tcPr>
                          <w:p w14:paraId="4AD3DF7C" w14:textId="070B8730"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74.1</w:t>
                            </w:r>
                          </w:p>
                        </w:tc>
                      </w:tr>
                      <w:tr w:rsidR="009E2073" w:rsidRPr="009E2073" w14:paraId="6557F601" w14:textId="77777777" w:rsidTr="009E2073">
                        <w:trPr>
                          <w:trHeight w:val="315"/>
                        </w:trPr>
                        <w:tc>
                          <w:tcPr>
                            <w:tcW w:w="2835" w:type="dxa"/>
                            <w:tcBorders>
                              <w:top w:val="nil"/>
                              <w:left w:val="nil"/>
                              <w:bottom w:val="nil"/>
                              <w:right w:val="nil"/>
                            </w:tcBorders>
                            <w:shd w:val="clear" w:color="000000" w:fill="FFFFFF"/>
                            <w:vAlign w:val="center"/>
                            <w:hideMark/>
                          </w:tcPr>
                          <w:p w14:paraId="2DB41A16"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México</w:t>
                            </w:r>
                          </w:p>
                        </w:tc>
                        <w:tc>
                          <w:tcPr>
                            <w:tcW w:w="2127" w:type="dxa"/>
                            <w:tcBorders>
                              <w:top w:val="nil"/>
                              <w:left w:val="nil"/>
                              <w:bottom w:val="nil"/>
                              <w:right w:val="nil"/>
                            </w:tcBorders>
                            <w:shd w:val="clear" w:color="auto" w:fill="auto"/>
                            <w:noWrap/>
                            <w:vAlign w:val="center"/>
                          </w:tcPr>
                          <w:p w14:paraId="71598373" w14:textId="158D1AE0" w:rsidR="009E2073" w:rsidRPr="00DD528F" w:rsidRDefault="00DD6052" w:rsidP="009E2073">
                            <w:pPr>
                              <w:jc w:val="center"/>
                              <w:rPr>
                                <w:rFonts w:ascii="Arial" w:hAnsi="Arial" w:cs="Arial"/>
                                <w:bCs/>
                                <w:color w:val="000000"/>
                                <w:sz w:val="16"/>
                                <w:szCs w:val="16"/>
                              </w:rPr>
                            </w:pPr>
                            <w:r w:rsidRPr="00DD528F">
                              <w:rPr>
                                <w:rFonts w:ascii="Arial" w:hAnsi="Arial" w:cs="Arial"/>
                                <w:bCs/>
                                <w:color w:val="000000"/>
                                <w:sz w:val="16"/>
                                <w:szCs w:val="16"/>
                              </w:rPr>
                              <w:t>64.6</w:t>
                            </w:r>
                          </w:p>
                        </w:tc>
                        <w:tc>
                          <w:tcPr>
                            <w:tcW w:w="1417" w:type="dxa"/>
                            <w:tcBorders>
                              <w:top w:val="nil"/>
                              <w:left w:val="nil"/>
                              <w:bottom w:val="nil"/>
                              <w:right w:val="nil"/>
                            </w:tcBorders>
                            <w:shd w:val="clear" w:color="auto" w:fill="auto"/>
                            <w:noWrap/>
                            <w:vAlign w:val="center"/>
                          </w:tcPr>
                          <w:p w14:paraId="1214BB3B" w14:textId="0FA70413"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70</w:t>
                            </w:r>
                            <w:r w:rsidR="00DD6052" w:rsidRPr="00DD528F">
                              <w:rPr>
                                <w:rFonts w:ascii="Arial" w:hAnsi="Arial" w:cs="Arial"/>
                                <w:bCs/>
                                <w:color w:val="000000"/>
                                <w:sz w:val="16"/>
                                <w:szCs w:val="16"/>
                              </w:rPr>
                              <w:t>.6</w:t>
                            </w:r>
                          </w:p>
                        </w:tc>
                        <w:tc>
                          <w:tcPr>
                            <w:tcW w:w="1418" w:type="dxa"/>
                            <w:tcBorders>
                              <w:top w:val="nil"/>
                              <w:left w:val="nil"/>
                              <w:bottom w:val="nil"/>
                              <w:right w:val="nil"/>
                            </w:tcBorders>
                            <w:shd w:val="clear" w:color="auto" w:fill="auto"/>
                            <w:noWrap/>
                            <w:vAlign w:val="center"/>
                          </w:tcPr>
                          <w:p w14:paraId="405F8200" w14:textId="33961A01"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80</w:t>
                            </w:r>
                            <w:r w:rsidR="000A29BD" w:rsidRPr="00DD528F">
                              <w:rPr>
                                <w:rFonts w:ascii="Arial" w:hAnsi="Arial" w:cs="Arial"/>
                                <w:bCs/>
                                <w:color w:val="000000"/>
                                <w:sz w:val="16"/>
                                <w:szCs w:val="16"/>
                              </w:rPr>
                              <w:t>.0</w:t>
                            </w:r>
                          </w:p>
                        </w:tc>
                        <w:tc>
                          <w:tcPr>
                            <w:tcW w:w="1559" w:type="dxa"/>
                            <w:tcBorders>
                              <w:top w:val="nil"/>
                              <w:left w:val="nil"/>
                              <w:bottom w:val="nil"/>
                              <w:right w:val="nil"/>
                            </w:tcBorders>
                            <w:shd w:val="clear" w:color="auto" w:fill="auto"/>
                            <w:noWrap/>
                            <w:vAlign w:val="center"/>
                          </w:tcPr>
                          <w:p w14:paraId="2B0B235A" w14:textId="2A5865E7" w:rsidR="009E2073" w:rsidRPr="00DD528F" w:rsidRDefault="00731F55" w:rsidP="009E2073">
                            <w:pPr>
                              <w:jc w:val="center"/>
                              <w:rPr>
                                <w:rFonts w:ascii="Arial" w:hAnsi="Arial" w:cs="Arial"/>
                                <w:bCs/>
                                <w:color w:val="000000"/>
                                <w:sz w:val="16"/>
                                <w:szCs w:val="16"/>
                              </w:rPr>
                            </w:pPr>
                            <w:r w:rsidRPr="00DD528F">
                              <w:rPr>
                                <w:rFonts w:ascii="Arial" w:hAnsi="Arial" w:cs="Arial"/>
                                <w:bCs/>
                                <w:color w:val="000000"/>
                                <w:sz w:val="16"/>
                                <w:szCs w:val="16"/>
                              </w:rPr>
                              <w:t>68</w:t>
                            </w:r>
                            <w:r w:rsidR="000A29BD" w:rsidRPr="00DD528F">
                              <w:rPr>
                                <w:rFonts w:ascii="Arial" w:hAnsi="Arial" w:cs="Arial"/>
                                <w:bCs/>
                                <w:color w:val="000000"/>
                                <w:sz w:val="16"/>
                                <w:szCs w:val="16"/>
                              </w:rPr>
                              <w:t>.5</w:t>
                            </w:r>
                          </w:p>
                        </w:tc>
                      </w:tr>
                      <w:tr w:rsidR="009E2073" w:rsidRPr="009E2073" w14:paraId="4AB7B45E" w14:textId="77777777" w:rsidTr="009E2073">
                        <w:trPr>
                          <w:trHeight w:val="315"/>
                        </w:trPr>
                        <w:tc>
                          <w:tcPr>
                            <w:tcW w:w="2835" w:type="dxa"/>
                            <w:tcBorders>
                              <w:top w:val="single" w:sz="8" w:space="0" w:color="auto"/>
                              <w:left w:val="nil"/>
                              <w:bottom w:val="single" w:sz="8" w:space="0" w:color="auto"/>
                              <w:right w:val="nil"/>
                            </w:tcBorders>
                            <w:shd w:val="clear" w:color="000000" w:fill="FFFFFF"/>
                            <w:vAlign w:val="center"/>
                            <w:hideMark/>
                          </w:tcPr>
                          <w:p w14:paraId="7A857B0C" w14:textId="77777777" w:rsidR="009E2073" w:rsidRPr="009E2073" w:rsidRDefault="009E2073" w:rsidP="009E2073">
                            <w:pPr>
                              <w:rPr>
                                <w:rFonts w:ascii="Arial" w:hAnsi="Arial" w:cs="Arial"/>
                                <w:b/>
                                <w:bCs/>
                                <w:color w:val="000000"/>
                                <w:sz w:val="16"/>
                                <w:szCs w:val="16"/>
                              </w:rPr>
                            </w:pPr>
                            <w:r w:rsidRPr="009E2073">
                              <w:rPr>
                                <w:rFonts w:ascii="Arial" w:hAnsi="Arial" w:cs="Arial"/>
                                <w:b/>
                                <w:bCs/>
                                <w:color w:val="000000"/>
                                <w:sz w:val="16"/>
                                <w:szCs w:val="16"/>
                              </w:rPr>
                              <w:t>Promedio OCDE</w:t>
                            </w:r>
                          </w:p>
                        </w:tc>
                        <w:tc>
                          <w:tcPr>
                            <w:tcW w:w="2127" w:type="dxa"/>
                            <w:tcBorders>
                              <w:top w:val="single" w:sz="8" w:space="0" w:color="auto"/>
                              <w:left w:val="nil"/>
                              <w:bottom w:val="single" w:sz="8" w:space="0" w:color="auto"/>
                              <w:right w:val="nil"/>
                            </w:tcBorders>
                            <w:shd w:val="clear" w:color="auto" w:fill="auto"/>
                            <w:noWrap/>
                            <w:vAlign w:val="center"/>
                          </w:tcPr>
                          <w:p w14:paraId="6DCE70C5" w14:textId="79E2387B"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56.5</w:t>
                            </w:r>
                          </w:p>
                        </w:tc>
                        <w:tc>
                          <w:tcPr>
                            <w:tcW w:w="1417" w:type="dxa"/>
                            <w:tcBorders>
                              <w:top w:val="single" w:sz="8" w:space="0" w:color="auto"/>
                              <w:left w:val="nil"/>
                              <w:bottom w:val="single" w:sz="8" w:space="0" w:color="auto"/>
                              <w:right w:val="nil"/>
                            </w:tcBorders>
                            <w:shd w:val="clear" w:color="auto" w:fill="auto"/>
                            <w:noWrap/>
                            <w:vAlign w:val="center"/>
                          </w:tcPr>
                          <w:p w14:paraId="23C927AF" w14:textId="185320F3" w:rsidR="009E2073" w:rsidRPr="009E2073" w:rsidRDefault="00DD6052" w:rsidP="009E2073">
                            <w:pPr>
                              <w:jc w:val="center"/>
                              <w:rPr>
                                <w:rFonts w:ascii="Arial" w:hAnsi="Arial" w:cs="Arial"/>
                                <w:color w:val="000000"/>
                                <w:sz w:val="16"/>
                                <w:szCs w:val="16"/>
                              </w:rPr>
                            </w:pPr>
                            <w:r>
                              <w:rPr>
                                <w:rFonts w:ascii="Arial" w:hAnsi="Arial" w:cs="Arial"/>
                                <w:color w:val="000000"/>
                                <w:sz w:val="16"/>
                                <w:szCs w:val="16"/>
                              </w:rPr>
                              <w:t>75.4</w:t>
                            </w:r>
                          </w:p>
                        </w:tc>
                        <w:tc>
                          <w:tcPr>
                            <w:tcW w:w="1418" w:type="dxa"/>
                            <w:tcBorders>
                              <w:top w:val="single" w:sz="8" w:space="0" w:color="auto"/>
                              <w:left w:val="nil"/>
                              <w:bottom w:val="single" w:sz="8" w:space="0" w:color="auto"/>
                              <w:right w:val="nil"/>
                            </w:tcBorders>
                            <w:shd w:val="clear" w:color="auto" w:fill="auto"/>
                            <w:noWrap/>
                            <w:vAlign w:val="center"/>
                          </w:tcPr>
                          <w:p w14:paraId="770430A0" w14:textId="2BBF381C" w:rsidR="009E2073" w:rsidRPr="009E2073" w:rsidRDefault="000A29BD" w:rsidP="009E2073">
                            <w:pPr>
                              <w:jc w:val="center"/>
                              <w:rPr>
                                <w:rFonts w:ascii="Arial" w:hAnsi="Arial" w:cs="Arial"/>
                                <w:color w:val="000000"/>
                                <w:sz w:val="16"/>
                                <w:szCs w:val="16"/>
                              </w:rPr>
                            </w:pPr>
                            <w:r>
                              <w:rPr>
                                <w:rFonts w:ascii="Arial" w:hAnsi="Arial" w:cs="Arial"/>
                                <w:color w:val="000000"/>
                                <w:sz w:val="16"/>
                                <w:szCs w:val="16"/>
                              </w:rPr>
                              <w:t>85.2</w:t>
                            </w:r>
                          </w:p>
                        </w:tc>
                        <w:tc>
                          <w:tcPr>
                            <w:tcW w:w="1559" w:type="dxa"/>
                            <w:tcBorders>
                              <w:top w:val="single" w:sz="8" w:space="0" w:color="auto"/>
                              <w:left w:val="nil"/>
                              <w:bottom w:val="single" w:sz="8" w:space="0" w:color="auto"/>
                              <w:right w:val="nil"/>
                            </w:tcBorders>
                            <w:shd w:val="clear" w:color="auto" w:fill="auto"/>
                            <w:noWrap/>
                            <w:vAlign w:val="center"/>
                          </w:tcPr>
                          <w:p w14:paraId="76CA51F9" w14:textId="635DF3E8" w:rsidR="009E2073" w:rsidRPr="009E2073" w:rsidRDefault="00731F55" w:rsidP="009E2073">
                            <w:pPr>
                              <w:jc w:val="center"/>
                              <w:rPr>
                                <w:rFonts w:ascii="Arial" w:hAnsi="Arial" w:cs="Arial"/>
                                <w:color w:val="000000"/>
                                <w:sz w:val="16"/>
                                <w:szCs w:val="16"/>
                              </w:rPr>
                            </w:pPr>
                            <w:r>
                              <w:rPr>
                                <w:rFonts w:ascii="Arial" w:hAnsi="Arial" w:cs="Arial"/>
                                <w:color w:val="000000"/>
                                <w:sz w:val="16"/>
                                <w:szCs w:val="16"/>
                              </w:rPr>
                              <w:t>75</w:t>
                            </w:r>
                            <w:r w:rsidR="000A29BD">
                              <w:rPr>
                                <w:rFonts w:ascii="Arial" w:hAnsi="Arial" w:cs="Arial"/>
                                <w:color w:val="000000"/>
                                <w:sz w:val="16"/>
                                <w:szCs w:val="16"/>
                              </w:rPr>
                              <w:t>.5</w:t>
                            </w:r>
                          </w:p>
                        </w:tc>
                      </w:tr>
                      <w:tr w:rsidR="009E2073" w:rsidRPr="009E2073" w14:paraId="0B1CD0FF" w14:textId="77777777" w:rsidTr="009E2073">
                        <w:trPr>
                          <w:trHeight w:val="300"/>
                        </w:trPr>
                        <w:tc>
                          <w:tcPr>
                            <w:tcW w:w="9356" w:type="dxa"/>
                            <w:gridSpan w:val="5"/>
                            <w:tcBorders>
                              <w:top w:val="nil"/>
                              <w:left w:val="nil"/>
                              <w:bottom w:val="nil"/>
                              <w:right w:val="nil"/>
                            </w:tcBorders>
                            <w:shd w:val="clear" w:color="000000" w:fill="FFFFFF"/>
                            <w:vAlign w:val="center"/>
                            <w:hideMark/>
                          </w:tcPr>
                          <w:p w14:paraId="048F5E2F" w14:textId="77777777" w:rsidR="009E2073" w:rsidRPr="009E2073" w:rsidRDefault="009E2073" w:rsidP="009E2073">
                            <w:pPr>
                              <w:rPr>
                                <w:rFonts w:ascii="Arial" w:hAnsi="Arial" w:cs="Arial"/>
                                <w:color w:val="000000"/>
                                <w:sz w:val="12"/>
                                <w:szCs w:val="12"/>
                              </w:rPr>
                            </w:pPr>
                            <w:r w:rsidRPr="009E2073">
                              <w:rPr>
                                <w:rFonts w:ascii="Arial" w:hAnsi="Arial" w:cs="Arial"/>
                                <w:color w:val="000000"/>
                                <w:sz w:val="12"/>
                                <w:szCs w:val="12"/>
                                <w:vertAlign w:val="superscript"/>
                              </w:rPr>
                              <w:t xml:space="preserve">1 </w:t>
                            </w:r>
                            <w:r w:rsidRPr="009E2073">
                              <w:rPr>
                                <w:rFonts w:ascii="Arial" w:hAnsi="Arial" w:cs="Arial"/>
                                <w:color w:val="000000"/>
                                <w:sz w:val="12"/>
                                <w:szCs w:val="12"/>
                              </w:rPr>
                              <w:t xml:space="preserve">Corresponde al nivel 3 CINE 2011 (UNESCO, 2013). </w:t>
                            </w:r>
                          </w:p>
                        </w:tc>
                      </w:tr>
                      <w:tr w:rsidR="009E2073" w:rsidRPr="009E2073" w14:paraId="3CA9231E" w14:textId="77777777" w:rsidTr="009E2073">
                        <w:trPr>
                          <w:trHeight w:val="300"/>
                        </w:trPr>
                        <w:tc>
                          <w:tcPr>
                            <w:tcW w:w="9356" w:type="dxa"/>
                            <w:gridSpan w:val="5"/>
                            <w:tcBorders>
                              <w:top w:val="nil"/>
                              <w:left w:val="nil"/>
                              <w:bottom w:val="nil"/>
                              <w:right w:val="nil"/>
                            </w:tcBorders>
                            <w:shd w:val="clear" w:color="000000" w:fill="FFFFFF"/>
                            <w:vAlign w:val="center"/>
                            <w:hideMark/>
                          </w:tcPr>
                          <w:p w14:paraId="6B8A88A5" w14:textId="77777777" w:rsidR="009E2073" w:rsidRPr="009E2073" w:rsidRDefault="009E2073" w:rsidP="009E2073">
                            <w:pPr>
                              <w:rPr>
                                <w:rFonts w:ascii="Arial" w:hAnsi="Arial" w:cs="Arial"/>
                                <w:color w:val="000000"/>
                                <w:sz w:val="12"/>
                                <w:szCs w:val="12"/>
                              </w:rPr>
                            </w:pPr>
                            <w:r w:rsidRPr="009E2073">
                              <w:rPr>
                                <w:rFonts w:ascii="Arial" w:hAnsi="Arial" w:cs="Arial"/>
                                <w:color w:val="000000"/>
                                <w:sz w:val="12"/>
                                <w:szCs w:val="12"/>
                                <w:vertAlign w:val="superscript"/>
                              </w:rPr>
                              <w:t xml:space="preserve">2 </w:t>
                            </w:r>
                            <w:r w:rsidRPr="009E2073">
                              <w:rPr>
                                <w:rFonts w:ascii="Arial" w:hAnsi="Arial" w:cs="Arial"/>
                                <w:color w:val="000000"/>
                                <w:sz w:val="12"/>
                                <w:szCs w:val="12"/>
                              </w:rPr>
                              <w:t>Se refiere al nivel 6 de la misma clasificación.</w:t>
                            </w:r>
                          </w:p>
                        </w:tc>
                      </w:tr>
                      <w:tr w:rsidR="009E2073" w:rsidRPr="009E2073" w14:paraId="21040D81" w14:textId="77777777" w:rsidTr="009E2073">
                        <w:trPr>
                          <w:trHeight w:val="300"/>
                        </w:trPr>
                        <w:tc>
                          <w:tcPr>
                            <w:tcW w:w="9356" w:type="dxa"/>
                            <w:gridSpan w:val="5"/>
                            <w:tcBorders>
                              <w:top w:val="nil"/>
                              <w:left w:val="nil"/>
                              <w:bottom w:val="nil"/>
                              <w:right w:val="nil"/>
                            </w:tcBorders>
                            <w:shd w:val="clear" w:color="000000" w:fill="FFFFFF"/>
                            <w:vAlign w:val="center"/>
                            <w:hideMark/>
                          </w:tcPr>
                          <w:p w14:paraId="3FB5156F" w14:textId="5A9FC2AC" w:rsidR="009E2073" w:rsidRPr="0012668C" w:rsidRDefault="009E2073" w:rsidP="009E2073">
                            <w:pPr>
                              <w:rPr>
                                <w:rFonts w:ascii="Arial" w:hAnsi="Arial" w:cs="Arial"/>
                                <w:bCs/>
                                <w:color w:val="000000"/>
                                <w:sz w:val="12"/>
                                <w:szCs w:val="12"/>
                              </w:rPr>
                            </w:pPr>
                            <w:r w:rsidRPr="0012668C">
                              <w:rPr>
                                <w:rFonts w:ascii="Arial" w:hAnsi="Arial" w:cs="Arial"/>
                                <w:bCs/>
                                <w:color w:val="000000"/>
                                <w:sz w:val="12"/>
                                <w:szCs w:val="12"/>
                                <w:lang w:val="en-US"/>
                              </w:rPr>
                              <w:t>Fuente:</w:t>
                            </w:r>
                            <w:r w:rsidRPr="0012668C">
                              <w:rPr>
                                <w:rFonts w:ascii="Arial" w:hAnsi="Arial" w:cs="Arial"/>
                                <w:color w:val="000000"/>
                                <w:sz w:val="12"/>
                                <w:szCs w:val="12"/>
                                <w:lang w:val="en-US"/>
                              </w:rPr>
                              <w:t xml:space="preserve"> </w:t>
                            </w:r>
                            <w:r w:rsidR="002102BF" w:rsidRPr="0012668C">
                              <w:rPr>
                                <w:rFonts w:ascii="Arial" w:hAnsi="Arial" w:cs="Arial"/>
                                <w:i/>
                                <w:iCs/>
                                <w:color w:val="000000"/>
                                <w:sz w:val="12"/>
                                <w:szCs w:val="12"/>
                                <w:lang w:val="en-US"/>
                              </w:rPr>
                              <w:t>Education at a Glance 2018</w:t>
                            </w:r>
                            <w:r w:rsidRPr="0012668C">
                              <w:rPr>
                                <w:rFonts w:ascii="Arial" w:hAnsi="Arial" w:cs="Arial"/>
                                <w:i/>
                                <w:iCs/>
                                <w:color w:val="000000"/>
                                <w:sz w:val="12"/>
                                <w:szCs w:val="12"/>
                                <w:lang w:val="en-US"/>
                              </w:rPr>
                              <w:t>. OECD Indicators</w:t>
                            </w:r>
                            <w:r w:rsidR="002102BF" w:rsidRPr="0012668C">
                              <w:rPr>
                                <w:rFonts w:ascii="Arial" w:hAnsi="Arial" w:cs="Arial"/>
                                <w:color w:val="000000"/>
                                <w:sz w:val="12"/>
                                <w:szCs w:val="12"/>
                                <w:lang w:val="en-US"/>
                              </w:rPr>
                              <w:t xml:space="preserve"> </w:t>
                            </w:r>
                            <w:r w:rsidR="0051633C" w:rsidRPr="0012668C">
                              <w:rPr>
                                <w:rFonts w:ascii="Arial" w:hAnsi="Arial" w:cs="Arial"/>
                                <w:color w:val="000000"/>
                                <w:sz w:val="12"/>
                                <w:szCs w:val="12"/>
                                <w:lang w:val="en-US"/>
                              </w:rPr>
                              <w:t>(</w:t>
                            </w:r>
                            <w:r w:rsidR="002102BF" w:rsidRPr="0012668C">
                              <w:rPr>
                                <w:rFonts w:ascii="Arial" w:hAnsi="Arial" w:cs="Arial"/>
                                <w:color w:val="000000"/>
                                <w:sz w:val="12"/>
                                <w:szCs w:val="12"/>
                                <w:lang w:val="en-US"/>
                              </w:rPr>
                              <w:t>OECD</w:t>
                            </w:r>
                            <w:r w:rsidR="0051633C" w:rsidRPr="0012668C">
                              <w:rPr>
                                <w:rFonts w:ascii="Arial" w:hAnsi="Arial" w:cs="Arial"/>
                                <w:color w:val="000000"/>
                                <w:sz w:val="12"/>
                                <w:szCs w:val="12"/>
                                <w:lang w:val="en-US"/>
                              </w:rPr>
                              <w:t xml:space="preserve">, </w:t>
                            </w:r>
                            <w:r w:rsidR="002102BF" w:rsidRPr="0012668C">
                              <w:rPr>
                                <w:rFonts w:ascii="Arial" w:hAnsi="Arial" w:cs="Arial"/>
                                <w:color w:val="000000"/>
                                <w:sz w:val="12"/>
                                <w:szCs w:val="12"/>
                                <w:lang w:val="en-US"/>
                              </w:rPr>
                              <w:t>2018</w:t>
                            </w:r>
                            <w:r w:rsidRPr="0012668C">
                              <w:rPr>
                                <w:rFonts w:ascii="Arial" w:hAnsi="Arial" w:cs="Arial"/>
                                <w:color w:val="000000"/>
                                <w:sz w:val="12"/>
                                <w:szCs w:val="12"/>
                                <w:lang w:val="en-US"/>
                              </w:rPr>
                              <w:t>).</w:t>
                            </w:r>
                          </w:p>
                        </w:tc>
                      </w:tr>
                    </w:tbl>
                    <w:p w14:paraId="5771F726" w14:textId="01B33F85" w:rsidR="009E2073" w:rsidRDefault="009E2073" w:rsidP="00396B3B">
                      <w:pPr>
                        <w:rPr>
                          <w:rFonts w:ascii="Arial" w:hAnsi="Arial" w:cs="Arial"/>
                          <w:b/>
                          <w:sz w:val="18"/>
                          <w:szCs w:val="16"/>
                        </w:rPr>
                      </w:pPr>
                      <w:r>
                        <w:rPr>
                          <w:rFonts w:ascii="Arial" w:hAnsi="Arial" w:cs="Arial"/>
                          <w:b/>
                          <w:sz w:val="18"/>
                          <w:szCs w:val="16"/>
                        </w:rPr>
                        <w:fldChar w:fldCharType="end"/>
                      </w:r>
                    </w:p>
                  </w:txbxContent>
                </v:textbox>
                <w10:wrap type="square" anchorx="page"/>
              </v:roundrect>
            </w:pict>
          </mc:Fallback>
        </mc:AlternateContent>
      </w:r>
      <w:r w:rsidR="00E0098F" w:rsidRPr="002575C8">
        <w:rPr>
          <w:rFonts w:ascii="Arial" w:hAnsi="Arial" w:cs="Arial"/>
          <w:sz w:val="16"/>
          <w:szCs w:val="16"/>
        </w:rPr>
        <w:t xml:space="preserve">      </w:t>
      </w:r>
    </w:p>
    <w:p w14:paraId="30F2A89A" w14:textId="1FE49B74" w:rsidR="00E0098F" w:rsidRPr="002575C8" w:rsidRDefault="00E0098F" w:rsidP="00E0098F">
      <w:pPr>
        <w:rPr>
          <w:rFonts w:ascii="Arial" w:hAnsi="Arial" w:cs="Arial"/>
        </w:rPr>
      </w:pPr>
    </w:p>
    <w:p w14:paraId="683AE779" w14:textId="77777777" w:rsidR="00E0098F" w:rsidRPr="002575C8" w:rsidRDefault="00E0098F" w:rsidP="00E0098F">
      <w:pPr>
        <w:rPr>
          <w:rFonts w:ascii="Arial" w:hAnsi="Arial" w:cs="Arial"/>
          <w:sz w:val="12"/>
          <w:szCs w:val="12"/>
        </w:rPr>
      </w:pPr>
    </w:p>
    <w:p w14:paraId="36CEEA65" w14:textId="4723DCD0" w:rsidR="00E0098F" w:rsidRDefault="00E0098F" w:rsidP="00E0098F">
      <w:pPr>
        <w:rPr>
          <w:rFonts w:ascii="Arial" w:hAnsi="Arial" w:cs="Arial"/>
        </w:rPr>
      </w:pPr>
      <w:bookmarkStart w:id="3" w:name="_GoBack"/>
      <w:bookmarkEnd w:id="3"/>
    </w:p>
    <w:sectPr w:rsidR="00E0098F" w:rsidSect="00E4079F">
      <w:pgSz w:w="12242" w:h="15842" w:code="1"/>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kzidenz Grotesk BE 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72A5F"/>
    <w:multiLevelType w:val="hybridMultilevel"/>
    <w:tmpl w:val="4EA8D6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08215EA"/>
    <w:multiLevelType w:val="hybridMultilevel"/>
    <w:tmpl w:val="BE7AD79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01"/>
    <w:rsid w:val="0000033E"/>
    <w:rsid w:val="000060F7"/>
    <w:rsid w:val="00012383"/>
    <w:rsid w:val="00013932"/>
    <w:rsid w:val="00021128"/>
    <w:rsid w:val="000257F8"/>
    <w:rsid w:val="000346DB"/>
    <w:rsid w:val="00035A09"/>
    <w:rsid w:val="00037576"/>
    <w:rsid w:val="0004186C"/>
    <w:rsid w:val="00043A76"/>
    <w:rsid w:val="0004411D"/>
    <w:rsid w:val="000517DE"/>
    <w:rsid w:val="00065303"/>
    <w:rsid w:val="0007322E"/>
    <w:rsid w:val="00074E75"/>
    <w:rsid w:val="00093CA2"/>
    <w:rsid w:val="00094942"/>
    <w:rsid w:val="00094E86"/>
    <w:rsid w:val="000A0900"/>
    <w:rsid w:val="000A29BD"/>
    <w:rsid w:val="000C3CAE"/>
    <w:rsid w:val="000C4D18"/>
    <w:rsid w:val="000E3CA8"/>
    <w:rsid w:val="000E7AC0"/>
    <w:rsid w:val="000F154F"/>
    <w:rsid w:val="000F51AA"/>
    <w:rsid w:val="001016E3"/>
    <w:rsid w:val="00104973"/>
    <w:rsid w:val="001070E9"/>
    <w:rsid w:val="00110726"/>
    <w:rsid w:val="00113277"/>
    <w:rsid w:val="00113526"/>
    <w:rsid w:val="001146D7"/>
    <w:rsid w:val="00117942"/>
    <w:rsid w:val="001236D7"/>
    <w:rsid w:val="0012668C"/>
    <w:rsid w:val="001407C7"/>
    <w:rsid w:val="00142C79"/>
    <w:rsid w:val="00146E9E"/>
    <w:rsid w:val="001508A6"/>
    <w:rsid w:val="0016134D"/>
    <w:rsid w:val="001666CC"/>
    <w:rsid w:val="00173AF0"/>
    <w:rsid w:val="00174842"/>
    <w:rsid w:val="001751A3"/>
    <w:rsid w:val="00180B39"/>
    <w:rsid w:val="00184C67"/>
    <w:rsid w:val="001875A2"/>
    <w:rsid w:val="00193486"/>
    <w:rsid w:val="001A4080"/>
    <w:rsid w:val="001A66A1"/>
    <w:rsid w:val="001B38CE"/>
    <w:rsid w:val="001C0A9D"/>
    <w:rsid w:val="001C631B"/>
    <w:rsid w:val="001C67D7"/>
    <w:rsid w:val="001D63AF"/>
    <w:rsid w:val="001E0F08"/>
    <w:rsid w:val="001E14E0"/>
    <w:rsid w:val="001E1AAC"/>
    <w:rsid w:val="001E3394"/>
    <w:rsid w:val="001E6E2F"/>
    <w:rsid w:val="001F02F3"/>
    <w:rsid w:val="001F1123"/>
    <w:rsid w:val="001F4B85"/>
    <w:rsid w:val="001F555E"/>
    <w:rsid w:val="002025CD"/>
    <w:rsid w:val="00202E38"/>
    <w:rsid w:val="00207D25"/>
    <w:rsid w:val="002102BF"/>
    <w:rsid w:val="00211E3D"/>
    <w:rsid w:val="00215FF9"/>
    <w:rsid w:val="00220747"/>
    <w:rsid w:val="002311AC"/>
    <w:rsid w:val="002316BC"/>
    <w:rsid w:val="002328CC"/>
    <w:rsid w:val="00242F66"/>
    <w:rsid w:val="00252BBD"/>
    <w:rsid w:val="00256230"/>
    <w:rsid w:val="002575C8"/>
    <w:rsid w:val="00264501"/>
    <w:rsid w:val="00276568"/>
    <w:rsid w:val="00284B62"/>
    <w:rsid w:val="002938AB"/>
    <w:rsid w:val="0029419C"/>
    <w:rsid w:val="00294924"/>
    <w:rsid w:val="0029596E"/>
    <w:rsid w:val="00296FCF"/>
    <w:rsid w:val="002B0ED4"/>
    <w:rsid w:val="002B2220"/>
    <w:rsid w:val="002B3653"/>
    <w:rsid w:val="002B6940"/>
    <w:rsid w:val="002B6C1B"/>
    <w:rsid w:val="002B6F56"/>
    <w:rsid w:val="002C025D"/>
    <w:rsid w:val="002C316A"/>
    <w:rsid w:val="002C71B6"/>
    <w:rsid w:val="002D31A0"/>
    <w:rsid w:val="002E470F"/>
    <w:rsid w:val="002E6081"/>
    <w:rsid w:val="002F620B"/>
    <w:rsid w:val="002F7B83"/>
    <w:rsid w:val="00300528"/>
    <w:rsid w:val="00305EF7"/>
    <w:rsid w:val="00311253"/>
    <w:rsid w:val="003140F4"/>
    <w:rsid w:val="00324C80"/>
    <w:rsid w:val="0032613B"/>
    <w:rsid w:val="003475E0"/>
    <w:rsid w:val="003508FA"/>
    <w:rsid w:val="00351B26"/>
    <w:rsid w:val="00352665"/>
    <w:rsid w:val="00352C61"/>
    <w:rsid w:val="00352D88"/>
    <w:rsid w:val="003532B2"/>
    <w:rsid w:val="0035554B"/>
    <w:rsid w:val="00356669"/>
    <w:rsid w:val="0036564C"/>
    <w:rsid w:val="003662C7"/>
    <w:rsid w:val="00373ED5"/>
    <w:rsid w:val="00382261"/>
    <w:rsid w:val="00382786"/>
    <w:rsid w:val="0038347D"/>
    <w:rsid w:val="00386886"/>
    <w:rsid w:val="00387BEF"/>
    <w:rsid w:val="00387D98"/>
    <w:rsid w:val="00391568"/>
    <w:rsid w:val="00392075"/>
    <w:rsid w:val="00396B3B"/>
    <w:rsid w:val="003978B9"/>
    <w:rsid w:val="003A72D4"/>
    <w:rsid w:val="003B1A70"/>
    <w:rsid w:val="003B3E25"/>
    <w:rsid w:val="003B6BBA"/>
    <w:rsid w:val="003C202B"/>
    <w:rsid w:val="003C2C94"/>
    <w:rsid w:val="003D5959"/>
    <w:rsid w:val="003D781F"/>
    <w:rsid w:val="003E1FE7"/>
    <w:rsid w:val="003E2480"/>
    <w:rsid w:val="003E78CA"/>
    <w:rsid w:val="003F455A"/>
    <w:rsid w:val="003F50B6"/>
    <w:rsid w:val="00404DD6"/>
    <w:rsid w:val="004243B5"/>
    <w:rsid w:val="004378F3"/>
    <w:rsid w:val="004517C6"/>
    <w:rsid w:val="00453C6B"/>
    <w:rsid w:val="00461940"/>
    <w:rsid w:val="0046735A"/>
    <w:rsid w:val="00467E35"/>
    <w:rsid w:val="00470ACB"/>
    <w:rsid w:val="00477B00"/>
    <w:rsid w:val="00480AC0"/>
    <w:rsid w:val="004818CF"/>
    <w:rsid w:val="00484938"/>
    <w:rsid w:val="00486793"/>
    <w:rsid w:val="004A27C1"/>
    <w:rsid w:val="004A51F7"/>
    <w:rsid w:val="004A613D"/>
    <w:rsid w:val="004B7D32"/>
    <w:rsid w:val="004C1168"/>
    <w:rsid w:val="004C37CE"/>
    <w:rsid w:val="004D5F28"/>
    <w:rsid w:val="004D6C89"/>
    <w:rsid w:val="004D7316"/>
    <w:rsid w:val="004E0682"/>
    <w:rsid w:val="004E0DF1"/>
    <w:rsid w:val="004E2338"/>
    <w:rsid w:val="004E40D9"/>
    <w:rsid w:val="004E5E42"/>
    <w:rsid w:val="004E65FE"/>
    <w:rsid w:val="004F0FAB"/>
    <w:rsid w:val="004F51F8"/>
    <w:rsid w:val="005019D7"/>
    <w:rsid w:val="005024DA"/>
    <w:rsid w:val="005041B0"/>
    <w:rsid w:val="005052F8"/>
    <w:rsid w:val="00506F54"/>
    <w:rsid w:val="0050768F"/>
    <w:rsid w:val="00507BD3"/>
    <w:rsid w:val="00512F3E"/>
    <w:rsid w:val="0051526B"/>
    <w:rsid w:val="00516239"/>
    <w:rsid w:val="0051633C"/>
    <w:rsid w:val="005163DF"/>
    <w:rsid w:val="00516E10"/>
    <w:rsid w:val="00525D77"/>
    <w:rsid w:val="00534527"/>
    <w:rsid w:val="005367D8"/>
    <w:rsid w:val="0053693C"/>
    <w:rsid w:val="00537B3E"/>
    <w:rsid w:val="00551441"/>
    <w:rsid w:val="00551917"/>
    <w:rsid w:val="0056390D"/>
    <w:rsid w:val="00564430"/>
    <w:rsid w:val="005668C6"/>
    <w:rsid w:val="00580840"/>
    <w:rsid w:val="00581377"/>
    <w:rsid w:val="005823A5"/>
    <w:rsid w:val="0058464F"/>
    <w:rsid w:val="005871B9"/>
    <w:rsid w:val="00590634"/>
    <w:rsid w:val="005A3045"/>
    <w:rsid w:val="005B68F3"/>
    <w:rsid w:val="005C3494"/>
    <w:rsid w:val="005C752D"/>
    <w:rsid w:val="005D6FE3"/>
    <w:rsid w:val="005E1E2A"/>
    <w:rsid w:val="005E31D9"/>
    <w:rsid w:val="005E3CF6"/>
    <w:rsid w:val="005E6F8A"/>
    <w:rsid w:val="005F1D3F"/>
    <w:rsid w:val="005F73AD"/>
    <w:rsid w:val="006010B0"/>
    <w:rsid w:val="00602376"/>
    <w:rsid w:val="00611D9D"/>
    <w:rsid w:val="00612C5F"/>
    <w:rsid w:val="006161E4"/>
    <w:rsid w:val="00621932"/>
    <w:rsid w:val="00623F3B"/>
    <w:rsid w:val="0063640A"/>
    <w:rsid w:val="006434A1"/>
    <w:rsid w:val="00646043"/>
    <w:rsid w:val="00654F9B"/>
    <w:rsid w:val="00664BAB"/>
    <w:rsid w:val="00671855"/>
    <w:rsid w:val="006867AC"/>
    <w:rsid w:val="00686FF1"/>
    <w:rsid w:val="00694BC2"/>
    <w:rsid w:val="006954A3"/>
    <w:rsid w:val="006A0543"/>
    <w:rsid w:val="006A0FBC"/>
    <w:rsid w:val="006A391F"/>
    <w:rsid w:val="006A4557"/>
    <w:rsid w:val="006B2FAB"/>
    <w:rsid w:val="006B4135"/>
    <w:rsid w:val="006B578F"/>
    <w:rsid w:val="006B699A"/>
    <w:rsid w:val="006B7C10"/>
    <w:rsid w:val="006C55FF"/>
    <w:rsid w:val="006D445A"/>
    <w:rsid w:val="006E4DC8"/>
    <w:rsid w:val="006E6FCB"/>
    <w:rsid w:val="006F4025"/>
    <w:rsid w:val="006F65BB"/>
    <w:rsid w:val="006F6B0E"/>
    <w:rsid w:val="0070505B"/>
    <w:rsid w:val="007054ED"/>
    <w:rsid w:val="00715D1F"/>
    <w:rsid w:val="007269F4"/>
    <w:rsid w:val="00727EB2"/>
    <w:rsid w:val="007303D8"/>
    <w:rsid w:val="00730877"/>
    <w:rsid w:val="00731F55"/>
    <w:rsid w:val="0073208B"/>
    <w:rsid w:val="00736849"/>
    <w:rsid w:val="0075187B"/>
    <w:rsid w:val="007678ED"/>
    <w:rsid w:val="0077004B"/>
    <w:rsid w:val="00772895"/>
    <w:rsid w:val="00773A5B"/>
    <w:rsid w:val="00780162"/>
    <w:rsid w:val="00782076"/>
    <w:rsid w:val="00784391"/>
    <w:rsid w:val="00791EF6"/>
    <w:rsid w:val="00791F1E"/>
    <w:rsid w:val="00792840"/>
    <w:rsid w:val="007962A5"/>
    <w:rsid w:val="007A2B2E"/>
    <w:rsid w:val="007A561A"/>
    <w:rsid w:val="007B4828"/>
    <w:rsid w:val="007D3149"/>
    <w:rsid w:val="007E0B7A"/>
    <w:rsid w:val="007F368D"/>
    <w:rsid w:val="007F5977"/>
    <w:rsid w:val="007F7251"/>
    <w:rsid w:val="00805F51"/>
    <w:rsid w:val="00806CCC"/>
    <w:rsid w:val="0080724C"/>
    <w:rsid w:val="00814857"/>
    <w:rsid w:val="00814B92"/>
    <w:rsid w:val="008230A8"/>
    <w:rsid w:val="00825920"/>
    <w:rsid w:val="00827DB8"/>
    <w:rsid w:val="00840550"/>
    <w:rsid w:val="00847CC1"/>
    <w:rsid w:val="00851075"/>
    <w:rsid w:val="008528F1"/>
    <w:rsid w:val="00865E76"/>
    <w:rsid w:val="00865F6B"/>
    <w:rsid w:val="00880957"/>
    <w:rsid w:val="00880B48"/>
    <w:rsid w:val="008909DA"/>
    <w:rsid w:val="0089313A"/>
    <w:rsid w:val="008942CF"/>
    <w:rsid w:val="008954D3"/>
    <w:rsid w:val="00897192"/>
    <w:rsid w:val="008975BE"/>
    <w:rsid w:val="008A2119"/>
    <w:rsid w:val="008A298D"/>
    <w:rsid w:val="008B4998"/>
    <w:rsid w:val="008C07BA"/>
    <w:rsid w:val="008D2F0A"/>
    <w:rsid w:val="008D363C"/>
    <w:rsid w:val="008D5592"/>
    <w:rsid w:val="008D7A60"/>
    <w:rsid w:val="008E0DB8"/>
    <w:rsid w:val="008E2F9F"/>
    <w:rsid w:val="008E3930"/>
    <w:rsid w:val="008E4F1B"/>
    <w:rsid w:val="008E797A"/>
    <w:rsid w:val="008E7CA5"/>
    <w:rsid w:val="008F5A22"/>
    <w:rsid w:val="00901140"/>
    <w:rsid w:val="00903CAE"/>
    <w:rsid w:val="00905716"/>
    <w:rsid w:val="00906A16"/>
    <w:rsid w:val="00907849"/>
    <w:rsid w:val="00915520"/>
    <w:rsid w:val="009237E2"/>
    <w:rsid w:val="00931B4D"/>
    <w:rsid w:val="00932F69"/>
    <w:rsid w:val="00934447"/>
    <w:rsid w:val="0094018C"/>
    <w:rsid w:val="009451A6"/>
    <w:rsid w:val="009461D9"/>
    <w:rsid w:val="00953B87"/>
    <w:rsid w:val="00955104"/>
    <w:rsid w:val="00956DE7"/>
    <w:rsid w:val="0096146A"/>
    <w:rsid w:val="00961DB7"/>
    <w:rsid w:val="00970BC8"/>
    <w:rsid w:val="009717BC"/>
    <w:rsid w:val="00971CED"/>
    <w:rsid w:val="00972450"/>
    <w:rsid w:val="009744AF"/>
    <w:rsid w:val="00974CD5"/>
    <w:rsid w:val="00980393"/>
    <w:rsid w:val="00981932"/>
    <w:rsid w:val="00991C1C"/>
    <w:rsid w:val="00991CEE"/>
    <w:rsid w:val="00994AF8"/>
    <w:rsid w:val="0099651B"/>
    <w:rsid w:val="009A1E1F"/>
    <w:rsid w:val="009A5AE2"/>
    <w:rsid w:val="009A5D90"/>
    <w:rsid w:val="009B1574"/>
    <w:rsid w:val="009B1F2F"/>
    <w:rsid w:val="009C3BA5"/>
    <w:rsid w:val="009D1DCB"/>
    <w:rsid w:val="009D66D5"/>
    <w:rsid w:val="009E2073"/>
    <w:rsid w:val="009E2AA4"/>
    <w:rsid w:val="009E3682"/>
    <w:rsid w:val="009F233D"/>
    <w:rsid w:val="009F4BE2"/>
    <w:rsid w:val="009F7072"/>
    <w:rsid w:val="00A007E8"/>
    <w:rsid w:val="00A04204"/>
    <w:rsid w:val="00A04B9D"/>
    <w:rsid w:val="00A0586A"/>
    <w:rsid w:val="00A10771"/>
    <w:rsid w:val="00A24D0F"/>
    <w:rsid w:val="00A33E63"/>
    <w:rsid w:val="00A34CC1"/>
    <w:rsid w:val="00A4229D"/>
    <w:rsid w:val="00A42B67"/>
    <w:rsid w:val="00A43DAD"/>
    <w:rsid w:val="00A46597"/>
    <w:rsid w:val="00A52250"/>
    <w:rsid w:val="00A56F72"/>
    <w:rsid w:val="00A61C49"/>
    <w:rsid w:val="00A65726"/>
    <w:rsid w:val="00A70BEE"/>
    <w:rsid w:val="00A72326"/>
    <w:rsid w:val="00A72441"/>
    <w:rsid w:val="00A758A1"/>
    <w:rsid w:val="00A820CB"/>
    <w:rsid w:val="00A95420"/>
    <w:rsid w:val="00AA0CCC"/>
    <w:rsid w:val="00AA1DFF"/>
    <w:rsid w:val="00AA2CB0"/>
    <w:rsid w:val="00AA52F9"/>
    <w:rsid w:val="00AA54FE"/>
    <w:rsid w:val="00AC21EC"/>
    <w:rsid w:val="00AC733A"/>
    <w:rsid w:val="00AC7D5D"/>
    <w:rsid w:val="00AE0EC1"/>
    <w:rsid w:val="00B0166C"/>
    <w:rsid w:val="00B02604"/>
    <w:rsid w:val="00B04D47"/>
    <w:rsid w:val="00B055EA"/>
    <w:rsid w:val="00B0746D"/>
    <w:rsid w:val="00B15C56"/>
    <w:rsid w:val="00B174D8"/>
    <w:rsid w:val="00B221BD"/>
    <w:rsid w:val="00B23813"/>
    <w:rsid w:val="00B27015"/>
    <w:rsid w:val="00B27EF4"/>
    <w:rsid w:val="00B350E7"/>
    <w:rsid w:val="00B37048"/>
    <w:rsid w:val="00B43FF5"/>
    <w:rsid w:val="00B45F2C"/>
    <w:rsid w:val="00B46803"/>
    <w:rsid w:val="00B51614"/>
    <w:rsid w:val="00B57FA6"/>
    <w:rsid w:val="00B64F2C"/>
    <w:rsid w:val="00B80B6D"/>
    <w:rsid w:val="00B84A95"/>
    <w:rsid w:val="00B86828"/>
    <w:rsid w:val="00B9098E"/>
    <w:rsid w:val="00B91D5C"/>
    <w:rsid w:val="00B93B18"/>
    <w:rsid w:val="00B944FF"/>
    <w:rsid w:val="00BB2C68"/>
    <w:rsid w:val="00BB62FD"/>
    <w:rsid w:val="00BB6B93"/>
    <w:rsid w:val="00BC0A8F"/>
    <w:rsid w:val="00BC3F22"/>
    <w:rsid w:val="00BC4C52"/>
    <w:rsid w:val="00BC749E"/>
    <w:rsid w:val="00BD0017"/>
    <w:rsid w:val="00BD7CD9"/>
    <w:rsid w:val="00BE72B5"/>
    <w:rsid w:val="00BF0E62"/>
    <w:rsid w:val="00BF3534"/>
    <w:rsid w:val="00BF4E2A"/>
    <w:rsid w:val="00C042BF"/>
    <w:rsid w:val="00C04859"/>
    <w:rsid w:val="00C12CC6"/>
    <w:rsid w:val="00C14389"/>
    <w:rsid w:val="00C205A3"/>
    <w:rsid w:val="00C25CBA"/>
    <w:rsid w:val="00C40EF3"/>
    <w:rsid w:val="00C42248"/>
    <w:rsid w:val="00C4406C"/>
    <w:rsid w:val="00C453DB"/>
    <w:rsid w:val="00C465D4"/>
    <w:rsid w:val="00C51000"/>
    <w:rsid w:val="00C572D4"/>
    <w:rsid w:val="00C6405D"/>
    <w:rsid w:val="00C644AB"/>
    <w:rsid w:val="00C66B0C"/>
    <w:rsid w:val="00C71F11"/>
    <w:rsid w:val="00C77493"/>
    <w:rsid w:val="00C86135"/>
    <w:rsid w:val="00C861D7"/>
    <w:rsid w:val="00C86393"/>
    <w:rsid w:val="00C9124B"/>
    <w:rsid w:val="00C92387"/>
    <w:rsid w:val="00CA601E"/>
    <w:rsid w:val="00CB172A"/>
    <w:rsid w:val="00CB38A6"/>
    <w:rsid w:val="00CB41C7"/>
    <w:rsid w:val="00CB7AA6"/>
    <w:rsid w:val="00CC173A"/>
    <w:rsid w:val="00CC7041"/>
    <w:rsid w:val="00CE4FA9"/>
    <w:rsid w:val="00CE6227"/>
    <w:rsid w:val="00CF3904"/>
    <w:rsid w:val="00CF44F4"/>
    <w:rsid w:val="00D02CA5"/>
    <w:rsid w:val="00D05ED1"/>
    <w:rsid w:val="00D10065"/>
    <w:rsid w:val="00D135C9"/>
    <w:rsid w:val="00D30BD1"/>
    <w:rsid w:val="00D31215"/>
    <w:rsid w:val="00D3464F"/>
    <w:rsid w:val="00D35107"/>
    <w:rsid w:val="00D40307"/>
    <w:rsid w:val="00D443B4"/>
    <w:rsid w:val="00D47C38"/>
    <w:rsid w:val="00D63350"/>
    <w:rsid w:val="00D71188"/>
    <w:rsid w:val="00D73524"/>
    <w:rsid w:val="00D80F2C"/>
    <w:rsid w:val="00D816D2"/>
    <w:rsid w:val="00D837A5"/>
    <w:rsid w:val="00D93F8B"/>
    <w:rsid w:val="00D94E3E"/>
    <w:rsid w:val="00DA116C"/>
    <w:rsid w:val="00DA3101"/>
    <w:rsid w:val="00DA3F53"/>
    <w:rsid w:val="00DA6093"/>
    <w:rsid w:val="00DB00D7"/>
    <w:rsid w:val="00DB1F3A"/>
    <w:rsid w:val="00DB7487"/>
    <w:rsid w:val="00DC712F"/>
    <w:rsid w:val="00DD528F"/>
    <w:rsid w:val="00DD5448"/>
    <w:rsid w:val="00DD6052"/>
    <w:rsid w:val="00DD63D9"/>
    <w:rsid w:val="00DE0A64"/>
    <w:rsid w:val="00DF5818"/>
    <w:rsid w:val="00DF6A89"/>
    <w:rsid w:val="00DF72D3"/>
    <w:rsid w:val="00E0098F"/>
    <w:rsid w:val="00E02C4C"/>
    <w:rsid w:val="00E11059"/>
    <w:rsid w:val="00E11736"/>
    <w:rsid w:val="00E162DD"/>
    <w:rsid w:val="00E1656E"/>
    <w:rsid w:val="00E23C53"/>
    <w:rsid w:val="00E27DC2"/>
    <w:rsid w:val="00E30453"/>
    <w:rsid w:val="00E311FA"/>
    <w:rsid w:val="00E32B40"/>
    <w:rsid w:val="00E40401"/>
    <w:rsid w:val="00E4079F"/>
    <w:rsid w:val="00E43DCB"/>
    <w:rsid w:val="00E704D9"/>
    <w:rsid w:val="00E70974"/>
    <w:rsid w:val="00E7154A"/>
    <w:rsid w:val="00E86A2F"/>
    <w:rsid w:val="00E86C45"/>
    <w:rsid w:val="00E90DD9"/>
    <w:rsid w:val="00E95430"/>
    <w:rsid w:val="00EA7105"/>
    <w:rsid w:val="00EB716B"/>
    <w:rsid w:val="00EB7BFF"/>
    <w:rsid w:val="00EC38C3"/>
    <w:rsid w:val="00EC7205"/>
    <w:rsid w:val="00ED1834"/>
    <w:rsid w:val="00EF2FD4"/>
    <w:rsid w:val="00F03892"/>
    <w:rsid w:val="00F07219"/>
    <w:rsid w:val="00F12515"/>
    <w:rsid w:val="00F13AA8"/>
    <w:rsid w:val="00F14AC9"/>
    <w:rsid w:val="00F24C62"/>
    <w:rsid w:val="00F3139F"/>
    <w:rsid w:val="00F3187A"/>
    <w:rsid w:val="00F32754"/>
    <w:rsid w:val="00F36639"/>
    <w:rsid w:val="00F36715"/>
    <w:rsid w:val="00F3780D"/>
    <w:rsid w:val="00F47B03"/>
    <w:rsid w:val="00F50D01"/>
    <w:rsid w:val="00F52D63"/>
    <w:rsid w:val="00F60E31"/>
    <w:rsid w:val="00F63354"/>
    <w:rsid w:val="00F719A0"/>
    <w:rsid w:val="00F83D13"/>
    <w:rsid w:val="00F85CCC"/>
    <w:rsid w:val="00F86996"/>
    <w:rsid w:val="00F903F9"/>
    <w:rsid w:val="00F94BD3"/>
    <w:rsid w:val="00F94BE9"/>
    <w:rsid w:val="00F9644B"/>
    <w:rsid w:val="00FA2FA8"/>
    <w:rsid w:val="00FA3BE9"/>
    <w:rsid w:val="00FB7BCE"/>
    <w:rsid w:val="00FC060B"/>
    <w:rsid w:val="00FC1D8C"/>
    <w:rsid w:val="00FC2D40"/>
    <w:rsid w:val="00FC3EA4"/>
    <w:rsid w:val="00FC58E6"/>
    <w:rsid w:val="00FD4AE5"/>
    <w:rsid w:val="00FD6473"/>
    <w:rsid w:val="00FD7E2E"/>
    <w:rsid w:val="00FE1505"/>
    <w:rsid w:val="00FE5BCC"/>
    <w:rsid w:val="00FE64EA"/>
    <w:rsid w:val="00FF261C"/>
    <w:rsid w:val="00FF31B9"/>
    <w:rsid w:val="00FF32CE"/>
    <w:rsid w:val="00FF7C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26AC2E"/>
  <w15:docId w15:val="{776C6805-D12D-458E-AAE5-C209BD65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501"/>
  </w:style>
  <w:style w:type="paragraph" w:styleId="Ttulo1">
    <w:name w:val="heading 1"/>
    <w:basedOn w:val="Normal"/>
    <w:next w:val="Normal"/>
    <w:qFormat/>
    <w:rsid w:val="00264501"/>
    <w:pPr>
      <w:keepNext/>
      <w:ind w:right="37"/>
      <w:jc w:val="both"/>
      <w:outlineLvl w:val="0"/>
    </w:pPr>
    <w:rPr>
      <w:rFonts w:ascii="Tahoma" w:hAnsi="Tahoma" w:cs="Tahoma"/>
      <w:i/>
    </w:rPr>
  </w:style>
  <w:style w:type="paragraph" w:styleId="Ttulo3">
    <w:name w:val="heading 3"/>
    <w:basedOn w:val="Normal"/>
    <w:next w:val="Normal"/>
    <w:qFormat/>
    <w:rsid w:val="001666CC"/>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64501"/>
    <w:pPr>
      <w:tabs>
        <w:tab w:val="center" w:pos="4419"/>
        <w:tab w:val="right" w:pos="8838"/>
      </w:tabs>
    </w:pPr>
    <w:rPr>
      <w:rFonts w:ascii="Arial" w:hAnsi="Arial"/>
    </w:rPr>
  </w:style>
  <w:style w:type="character" w:styleId="Hipervnculo">
    <w:name w:val="Hyperlink"/>
    <w:rsid w:val="000257F8"/>
    <w:rPr>
      <w:color w:val="0000FF"/>
      <w:u w:val="single"/>
    </w:rPr>
  </w:style>
  <w:style w:type="paragraph" w:styleId="Textodeglobo">
    <w:name w:val="Balloon Text"/>
    <w:basedOn w:val="Normal"/>
    <w:semiHidden/>
    <w:rsid w:val="00C04859"/>
    <w:rPr>
      <w:rFonts w:ascii="Tahoma" w:hAnsi="Tahoma" w:cs="Tahoma"/>
      <w:sz w:val="16"/>
      <w:szCs w:val="16"/>
    </w:rPr>
  </w:style>
  <w:style w:type="character" w:styleId="Hipervnculovisitado">
    <w:name w:val="FollowedHyperlink"/>
    <w:rsid w:val="00A72326"/>
    <w:rPr>
      <w:color w:val="800080"/>
      <w:u w:val="single"/>
    </w:rPr>
  </w:style>
  <w:style w:type="table" w:styleId="Tablaconcuadrcula">
    <w:name w:val="Table Grid"/>
    <w:basedOn w:val="Tablanormal"/>
    <w:rsid w:val="00166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7F7251"/>
    <w:rPr>
      <w:sz w:val="16"/>
      <w:szCs w:val="16"/>
    </w:rPr>
  </w:style>
  <w:style w:type="paragraph" w:styleId="Textocomentario">
    <w:name w:val="annotation text"/>
    <w:basedOn w:val="Normal"/>
    <w:semiHidden/>
    <w:rsid w:val="007F7251"/>
  </w:style>
  <w:style w:type="paragraph" w:styleId="Asuntodelcomentario">
    <w:name w:val="annotation subject"/>
    <w:basedOn w:val="Textocomentario"/>
    <w:next w:val="Textocomentario"/>
    <w:semiHidden/>
    <w:rsid w:val="007F7251"/>
    <w:rPr>
      <w:b/>
      <w:bCs/>
    </w:rPr>
  </w:style>
  <w:style w:type="character" w:customStyle="1" w:styleId="EncabezadoCar">
    <w:name w:val="Encabezado Car"/>
    <w:link w:val="Encabezado"/>
    <w:locked/>
    <w:rsid w:val="00E0098F"/>
    <w:rPr>
      <w:rFonts w:ascii="Arial" w:hAnsi="Arial"/>
      <w:sz w:val="24"/>
      <w:szCs w:val="24"/>
      <w:lang w:val="es-ES" w:eastAsia="es-ES" w:bidi="ar-SA"/>
    </w:rPr>
  </w:style>
  <w:style w:type="paragraph" w:styleId="HTMLconformatoprevio">
    <w:name w:val="HTML Preformatted"/>
    <w:basedOn w:val="Normal"/>
    <w:link w:val="HTMLconformatoprevioCar"/>
    <w:uiPriority w:val="99"/>
    <w:unhideWhenUsed/>
    <w:rsid w:val="00EC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conformatoprevioCar">
    <w:name w:val="HTML con formato previo Car"/>
    <w:link w:val="HTMLconformatoprevio"/>
    <w:uiPriority w:val="99"/>
    <w:rsid w:val="00EC38C3"/>
    <w:rPr>
      <w:rFonts w:ascii="Courier New" w:hAnsi="Courier New" w:cs="Courier New"/>
    </w:rPr>
  </w:style>
  <w:style w:type="paragraph" w:customStyle="1" w:styleId="Pa8">
    <w:name w:val="Pa8"/>
    <w:basedOn w:val="Normal"/>
    <w:next w:val="Normal"/>
    <w:uiPriority w:val="99"/>
    <w:rsid w:val="00981932"/>
    <w:pPr>
      <w:autoSpaceDE w:val="0"/>
      <w:autoSpaceDN w:val="0"/>
      <w:adjustRightInd w:val="0"/>
      <w:spacing w:line="161" w:lineRule="atLeast"/>
    </w:pPr>
    <w:rPr>
      <w:rFonts w:ascii="Akzidenz Grotesk BE Light" w:hAnsi="Akzidenz Grotesk BE Light"/>
    </w:rPr>
  </w:style>
  <w:style w:type="character" w:customStyle="1" w:styleId="nacep">
    <w:name w:val="n_acep"/>
    <w:basedOn w:val="Fuentedeprrafopredeter"/>
    <w:rsid w:val="00905716"/>
  </w:style>
  <w:style w:type="character" w:customStyle="1" w:styleId="apple-converted-space">
    <w:name w:val="apple-converted-space"/>
    <w:basedOn w:val="Fuentedeprrafopredeter"/>
    <w:rsid w:val="00905716"/>
  </w:style>
  <w:style w:type="paragraph" w:styleId="Revisin">
    <w:name w:val="Revision"/>
    <w:hidden/>
    <w:uiPriority w:val="99"/>
    <w:semiHidden/>
    <w:rsid w:val="00F36639"/>
    <w:rPr>
      <w:sz w:val="24"/>
      <w:szCs w:val="24"/>
      <w:lang w:val="es-ES" w:eastAsia="es-ES"/>
    </w:rPr>
  </w:style>
  <w:style w:type="paragraph" w:styleId="Prrafodelista">
    <w:name w:val="List Paragraph"/>
    <w:basedOn w:val="Normal"/>
    <w:uiPriority w:val="34"/>
    <w:qFormat/>
    <w:rsid w:val="00516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8025">
      <w:bodyDiv w:val="1"/>
      <w:marLeft w:val="0"/>
      <w:marRight w:val="0"/>
      <w:marTop w:val="0"/>
      <w:marBottom w:val="0"/>
      <w:divBdr>
        <w:top w:val="none" w:sz="0" w:space="0" w:color="auto"/>
        <w:left w:val="none" w:sz="0" w:space="0" w:color="auto"/>
        <w:bottom w:val="none" w:sz="0" w:space="0" w:color="auto"/>
        <w:right w:val="none" w:sz="0" w:space="0" w:color="auto"/>
      </w:divBdr>
    </w:div>
    <w:div w:id="54857774">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172648973">
      <w:bodyDiv w:val="1"/>
      <w:marLeft w:val="0"/>
      <w:marRight w:val="0"/>
      <w:marTop w:val="0"/>
      <w:marBottom w:val="0"/>
      <w:divBdr>
        <w:top w:val="none" w:sz="0" w:space="0" w:color="auto"/>
        <w:left w:val="none" w:sz="0" w:space="0" w:color="auto"/>
        <w:bottom w:val="none" w:sz="0" w:space="0" w:color="auto"/>
        <w:right w:val="none" w:sz="0" w:space="0" w:color="auto"/>
      </w:divBdr>
    </w:div>
    <w:div w:id="335111157">
      <w:bodyDiv w:val="1"/>
      <w:marLeft w:val="0"/>
      <w:marRight w:val="0"/>
      <w:marTop w:val="0"/>
      <w:marBottom w:val="0"/>
      <w:divBdr>
        <w:top w:val="none" w:sz="0" w:space="0" w:color="auto"/>
        <w:left w:val="none" w:sz="0" w:space="0" w:color="auto"/>
        <w:bottom w:val="none" w:sz="0" w:space="0" w:color="auto"/>
        <w:right w:val="none" w:sz="0" w:space="0" w:color="auto"/>
      </w:divBdr>
    </w:div>
    <w:div w:id="432406952">
      <w:bodyDiv w:val="1"/>
      <w:marLeft w:val="0"/>
      <w:marRight w:val="0"/>
      <w:marTop w:val="0"/>
      <w:marBottom w:val="0"/>
      <w:divBdr>
        <w:top w:val="none" w:sz="0" w:space="0" w:color="auto"/>
        <w:left w:val="none" w:sz="0" w:space="0" w:color="auto"/>
        <w:bottom w:val="none" w:sz="0" w:space="0" w:color="auto"/>
        <w:right w:val="none" w:sz="0" w:space="0" w:color="auto"/>
      </w:divBdr>
    </w:div>
    <w:div w:id="516969372">
      <w:bodyDiv w:val="1"/>
      <w:marLeft w:val="0"/>
      <w:marRight w:val="0"/>
      <w:marTop w:val="0"/>
      <w:marBottom w:val="0"/>
      <w:divBdr>
        <w:top w:val="none" w:sz="0" w:space="0" w:color="auto"/>
        <w:left w:val="none" w:sz="0" w:space="0" w:color="auto"/>
        <w:bottom w:val="none" w:sz="0" w:space="0" w:color="auto"/>
        <w:right w:val="none" w:sz="0" w:space="0" w:color="auto"/>
      </w:divBdr>
    </w:div>
    <w:div w:id="1181092200">
      <w:bodyDiv w:val="1"/>
      <w:marLeft w:val="0"/>
      <w:marRight w:val="0"/>
      <w:marTop w:val="0"/>
      <w:marBottom w:val="0"/>
      <w:divBdr>
        <w:top w:val="none" w:sz="0" w:space="0" w:color="auto"/>
        <w:left w:val="none" w:sz="0" w:space="0" w:color="auto"/>
        <w:bottom w:val="none" w:sz="0" w:space="0" w:color="auto"/>
        <w:right w:val="none" w:sz="0" w:space="0" w:color="auto"/>
      </w:divBdr>
    </w:div>
    <w:div w:id="1315766730">
      <w:bodyDiv w:val="1"/>
      <w:marLeft w:val="0"/>
      <w:marRight w:val="0"/>
      <w:marTop w:val="0"/>
      <w:marBottom w:val="0"/>
      <w:divBdr>
        <w:top w:val="none" w:sz="0" w:space="0" w:color="auto"/>
        <w:left w:val="none" w:sz="0" w:space="0" w:color="auto"/>
        <w:bottom w:val="none" w:sz="0" w:space="0" w:color="auto"/>
        <w:right w:val="none" w:sz="0" w:space="0" w:color="auto"/>
      </w:divBdr>
    </w:div>
    <w:div w:id="164018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E487C-8CA8-4ECC-96F2-9721DDAE5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754</Words>
  <Characters>4153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Nombre del indicador:</vt:lpstr>
    </vt:vector>
  </TitlesOfParts>
  <Company>INEE</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indicador:</dc:title>
  <dc:creator>Rubén Sánchez</dc:creator>
  <cp:lastModifiedBy>NAA</cp:lastModifiedBy>
  <cp:revision>22</cp:revision>
  <cp:lastPrinted>2016-03-08T22:41:00Z</cp:lastPrinted>
  <dcterms:created xsi:type="dcterms:W3CDTF">2018-12-20T22:33:00Z</dcterms:created>
  <dcterms:modified xsi:type="dcterms:W3CDTF">2019-05-10T01:23:00Z</dcterms:modified>
</cp:coreProperties>
</file>