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79E" w:rsidRPr="00F77FA1" w:rsidRDefault="00FE479E" w:rsidP="004F6ED8">
      <w:pPr>
        <w:rPr>
          <w:b/>
          <w:sz w:val="44"/>
          <w:szCs w:val="44"/>
          <w:u w:val="single"/>
        </w:rPr>
      </w:pPr>
      <w:r w:rsidRPr="00F77FA1">
        <w:rPr>
          <w:rFonts w:cs="Arial"/>
          <w:b/>
          <w:noProof/>
          <w:sz w:val="44"/>
          <w:szCs w:val="44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-41044</wp:posOffset>
                </wp:positionH>
                <wp:positionV relativeFrom="paragraph">
                  <wp:posOffset>13970</wp:posOffset>
                </wp:positionV>
                <wp:extent cx="810895" cy="306202"/>
                <wp:effectExtent l="0" t="0" r="27305" b="17780"/>
                <wp:wrapNone/>
                <wp:docPr id="2" name="Rectángulo redondead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895" cy="3062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479E" w:rsidRPr="00D07CE6" w:rsidRDefault="00FE479E" w:rsidP="00FE479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45740">
                              <w:rPr>
                                <w:b/>
                                <w:sz w:val="20"/>
                                <w:szCs w:val="20"/>
                              </w:rPr>
                              <w:t>CS0</w:t>
                            </w:r>
                            <w:r w:rsidR="00E45740" w:rsidRPr="00E45740">
                              <w:rPr>
                                <w:b/>
                                <w:sz w:val="20"/>
                                <w:szCs w:val="20"/>
                                <w:lang w:val="es-419"/>
                              </w:rPr>
                              <w:t>3</w:t>
                            </w:r>
                            <w:r w:rsidR="008F1B2E" w:rsidRPr="00E45740">
                              <w:rPr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ángulo redondeado 2" o:spid="_x0000_s1026" style="position:absolute;margin-left:-3.25pt;margin-top:1.1pt;width:63.8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">
                <v:textbox>
                  <w:txbxContent>
                    <w:p w:rsidR="00FE479E" w:rsidRPr="00D07CE6" w:rsidRDefault="00FE479E" w:rsidP="00FE479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E45740">
                        <w:rPr>
                          <w:b/>
                          <w:sz w:val="20"/>
                          <w:szCs w:val="20"/>
                        </w:rPr>
                        <w:t>CS0</w:t>
                      </w:r>
                      <w:r w:rsidR="00E45740" w:rsidRPr="00E45740">
                        <w:rPr>
                          <w:b/>
                          <w:sz w:val="20"/>
                          <w:szCs w:val="20"/>
                          <w:lang w:val="es-419"/>
                        </w:rPr>
                        <w:t>3</w:t>
                      </w:r>
                      <w:r w:rsidR="008F1B2E" w:rsidRPr="00E45740">
                        <w:rPr>
                          <w:b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E479E" w:rsidRPr="00F77FA1" w:rsidTr="00116AD9">
        <w:trPr>
          <w:trHeight w:val="291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9E" w:rsidRPr="00F77FA1" w:rsidRDefault="004670D8" w:rsidP="00117919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F77FA1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:rsidR="00FE479E" w:rsidRPr="00F77FA1" w:rsidRDefault="00FE479E" w:rsidP="00117919">
            <w:pPr>
              <w:rPr>
                <w:rFonts w:cs="Arial"/>
                <w:sz w:val="16"/>
                <w:szCs w:val="16"/>
              </w:rPr>
            </w:pPr>
            <w:r w:rsidRPr="00F77FA1">
              <w:rPr>
                <w:rFonts w:cs="Arial"/>
                <w:sz w:val="16"/>
                <w:szCs w:val="16"/>
              </w:rPr>
              <w:t>Porcentaje de población analfabeta</w:t>
            </w:r>
          </w:p>
          <w:p w:rsidR="001505B1" w:rsidRPr="00F77FA1" w:rsidRDefault="001505B1" w:rsidP="00117919">
            <w:pPr>
              <w:rPr>
                <w:rFonts w:cs="Arial"/>
                <w:sz w:val="16"/>
                <w:szCs w:val="16"/>
              </w:rPr>
            </w:pPr>
          </w:p>
        </w:tc>
      </w:tr>
      <w:tr w:rsidR="00FE479E" w:rsidRPr="00F77FA1" w:rsidTr="00116AD9">
        <w:trPr>
          <w:trHeight w:val="45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9E" w:rsidRPr="00F77FA1" w:rsidRDefault="004670D8" w:rsidP="00117919">
            <w:pPr>
              <w:rPr>
                <w:rFonts w:cs="Arial"/>
                <w:b/>
                <w:sz w:val="16"/>
                <w:szCs w:val="16"/>
              </w:rPr>
            </w:pPr>
            <w:r w:rsidRPr="00F77FA1">
              <w:rPr>
                <w:rFonts w:cs="Arial"/>
                <w:b/>
                <w:sz w:val="16"/>
                <w:szCs w:val="16"/>
              </w:rPr>
              <w:t>Definición</w:t>
            </w:r>
          </w:p>
          <w:p w:rsidR="00FE479E" w:rsidRPr="00F77FA1" w:rsidRDefault="00FE479E" w:rsidP="00116AD9">
            <w:pPr>
              <w:ind w:right="10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77FA1">
              <w:rPr>
                <w:rFonts w:cs="Arial"/>
                <w:sz w:val="16"/>
                <w:szCs w:val="16"/>
              </w:rPr>
              <w:t>Es el número de personas que no saben leer ni escribir</w:t>
            </w:r>
            <w:r w:rsidR="00047170" w:rsidRPr="00F77FA1">
              <w:rPr>
                <w:rFonts w:cs="Arial"/>
                <w:sz w:val="16"/>
                <w:szCs w:val="16"/>
              </w:rPr>
              <w:t xml:space="preserve"> un breve recado por cada cien</w:t>
            </w:r>
            <w:r w:rsidR="00116AD9" w:rsidRPr="00F77FA1">
              <w:rPr>
                <w:rFonts w:cs="Arial"/>
                <w:sz w:val="16"/>
                <w:szCs w:val="16"/>
              </w:rPr>
              <w:t xml:space="preserve"> </w:t>
            </w:r>
            <w:r w:rsidRPr="00F77FA1">
              <w:rPr>
                <w:rFonts w:cs="Arial"/>
                <w:sz w:val="16"/>
                <w:szCs w:val="16"/>
              </w:rPr>
              <w:t>de la misma edad.</w:t>
            </w:r>
          </w:p>
        </w:tc>
      </w:tr>
      <w:tr w:rsidR="00FE479E" w:rsidRPr="00F77FA1" w:rsidTr="00116AD9">
        <w:trPr>
          <w:trHeight w:val="1530"/>
        </w:trPr>
        <w:tc>
          <w:tcPr>
            <w:tcW w:w="9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79E" w:rsidRPr="00F77FA1" w:rsidRDefault="004670D8" w:rsidP="00117919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F77FA1"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:rsidR="00FE479E" w:rsidRPr="00F77FA1" w:rsidRDefault="00812C1D" w:rsidP="00117919">
            <w:pPr>
              <w:ind w:left="180" w:right="110"/>
              <w:jc w:val="center"/>
              <w:rPr>
                <w:rFonts w:cs="Arial"/>
                <w:sz w:val="20"/>
                <w:szCs w:val="20"/>
              </w:rPr>
            </w:pPr>
            <w:r w:rsidRPr="00F77FA1">
              <w:rPr>
                <w:rFonts w:cs="Arial"/>
                <w:position w:val="-32"/>
                <w:sz w:val="20"/>
                <w:szCs w:val="20"/>
              </w:rPr>
              <w:object w:dxaOrig="1260" w:dyaOrig="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38.25pt" o:ole="" fillcolor="window">
                  <v:imagedata r:id="rId8" o:title=""/>
                </v:shape>
                <o:OLEObject Type="Embed" ProgID="Equation.3" ShapeID="_x0000_i1025" DrawAspect="Content" ObjectID="_1620457885" r:id="rId9"/>
              </w:object>
            </w:r>
          </w:p>
          <w:tbl>
            <w:tblPr>
              <w:tblW w:w="7867" w:type="dxa"/>
              <w:tblLayout w:type="fixed"/>
              <w:tblLook w:val="01E0" w:firstRow="1" w:lastRow="1" w:firstColumn="1" w:lastColumn="1" w:noHBand="0" w:noVBand="0"/>
            </w:tblPr>
            <w:tblGrid>
              <w:gridCol w:w="1058"/>
              <w:gridCol w:w="6809"/>
            </w:tblGrid>
            <w:tr w:rsidR="00FE479E" w:rsidRPr="00F77FA1" w:rsidTr="00A81728">
              <w:trPr>
                <w:trHeight w:val="45"/>
              </w:trPr>
              <w:tc>
                <w:tcPr>
                  <w:tcW w:w="105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479E" w:rsidRPr="00F77FA1" w:rsidRDefault="00FE479E" w:rsidP="00117919">
                  <w:pPr>
                    <w:jc w:val="right"/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F77FA1">
                    <w:rPr>
                      <w:rFonts w:cs="Arial"/>
                      <w:i/>
                      <w:sz w:val="16"/>
                      <w:szCs w:val="16"/>
                    </w:rPr>
                    <w:t>ge</w:t>
                  </w:r>
                </w:p>
              </w:tc>
              <w:tc>
                <w:tcPr>
                  <w:tcW w:w="6809" w:type="dxa"/>
                  <w:vAlign w:val="center"/>
                </w:tcPr>
                <w:p w:rsidR="00FE479E" w:rsidRPr="00F77FA1" w:rsidRDefault="00FE479E" w:rsidP="00FE479E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F77FA1">
                    <w:rPr>
                      <w:rFonts w:cs="Tahoma"/>
                      <w:sz w:val="16"/>
                      <w:szCs w:val="16"/>
                    </w:rPr>
                    <w:t>Grupos de edad</w:t>
                  </w:r>
                  <w:r w:rsidR="001505B1" w:rsidRPr="00F77FA1">
                    <w:rPr>
                      <w:rFonts w:cs="Tahoma"/>
                      <w:sz w:val="16"/>
                      <w:szCs w:val="16"/>
                    </w:rPr>
                    <w:t>:</w:t>
                  </w:r>
                  <w:r w:rsidRPr="00F77FA1">
                    <w:rPr>
                      <w:rFonts w:cs="Tahoma"/>
                      <w:sz w:val="16"/>
                      <w:szCs w:val="16"/>
                      <w:vertAlign w:val="superscript"/>
                    </w:rPr>
                    <w:t>1</w:t>
                  </w:r>
                  <w:r w:rsidRPr="00F77FA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E41132" w:rsidRPr="00F77FA1">
                    <w:rPr>
                      <w:rFonts w:cs="Tahoma"/>
                      <w:sz w:val="16"/>
                      <w:szCs w:val="16"/>
                    </w:rPr>
                    <w:t xml:space="preserve">15 a 24, 55 a </w:t>
                  </w:r>
                  <w:r w:rsidRPr="00F77FA1">
                    <w:rPr>
                      <w:rFonts w:cs="Tahoma"/>
                      <w:sz w:val="16"/>
                      <w:szCs w:val="16"/>
                    </w:rPr>
                    <w:t>64 y 15 o más.</w:t>
                  </w:r>
                </w:p>
              </w:tc>
            </w:tr>
            <w:tr w:rsidR="00FE479E" w:rsidRPr="00F77FA1" w:rsidTr="00A81728">
              <w:trPr>
                <w:trHeight w:val="52"/>
              </w:trPr>
              <w:tc>
                <w:tcPr>
                  <w:tcW w:w="105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479E" w:rsidRPr="00F77FA1" w:rsidRDefault="00FE479E" w:rsidP="00117919">
                  <w:pPr>
                    <w:jc w:val="right"/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F77FA1">
                    <w:rPr>
                      <w:position w:val="-12"/>
                      <w:sz w:val="16"/>
                      <w:szCs w:val="16"/>
                    </w:rPr>
                    <w:object w:dxaOrig="560" w:dyaOrig="360">
                      <v:shape id="_x0000_i1026" type="#_x0000_t75" style="width:27pt;height:17.25pt" o:ole="">
                        <v:imagedata r:id="rId10" o:title=""/>
                      </v:shape>
                      <o:OLEObject Type="Embed" ProgID="Equation.3" ShapeID="_x0000_i1026" DrawAspect="Content" ObjectID="_1620457886" r:id="rId11"/>
                    </w:object>
                  </w:r>
                </w:p>
              </w:tc>
              <w:tc>
                <w:tcPr>
                  <w:tcW w:w="6809" w:type="dxa"/>
                  <w:vAlign w:val="center"/>
                </w:tcPr>
                <w:p w:rsidR="00FE479E" w:rsidRPr="00F77FA1" w:rsidRDefault="00FE479E" w:rsidP="00117919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F77FA1">
                    <w:rPr>
                      <w:rFonts w:cs="Arial"/>
                      <w:sz w:val="16"/>
                      <w:szCs w:val="16"/>
                    </w:rPr>
                    <w:t xml:space="preserve">Número de personas analfabetas en el grupo de edad </w:t>
                  </w:r>
                  <w:r w:rsidRPr="00F77FA1">
                    <w:rPr>
                      <w:rFonts w:cs="Arial"/>
                      <w:i/>
                      <w:sz w:val="16"/>
                      <w:szCs w:val="16"/>
                    </w:rPr>
                    <w:t>ge.</w:t>
                  </w:r>
                </w:p>
              </w:tc>
            </w:tr>
            <w:tr w:rsidR="00FE479E" w:rsidRPr="00F77FA1" w:rsidTr="00A81728">
              <w:trPr>
                <w:trHeight w:val="45"/>
              </w:trPr>
              <w:tc>
                <w:tcPr>
                  <w:tcW w:w="105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479E" w:rsidRPr="00F77FA1" w:rsidRDefault="00FE479E" w:rsidP="00117919">
                  <w:pPr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F77FA1">
                    <w:rPr>
                      <w:position w:val="-12"/>
                      <w:sz w:val="16"/>
                      <w:szCs w:val="16"/>
                    </w:rPr>
                    <w:object w:dxaOrig="340" w:dyaOrig="320">
                      <v:shape id="_x0000_i1027" type="#_x0000_t75" style="width:17.25pt;height:15.75pt" o:ole="">
                        <v:imagedata r:id="rId12" o:title=""/>
                      </v:shape>
                      <o:OLEObject Type="Embed" ProgID="Equation.3" ShapeID="_x0000_i1027" DrawAspect="Content" ObjectID="_1620457887" r:id="rId13"/>
                    </w:object>
                  </w:r>
                </w:p>
              </w:tc>
              <w:tc>
                <w:tcPr>
                  <w:tcW w:w="6809" w:type="dxa"/>
                  <w:vAlign w:val="center"/>
                </w:tcPr>
                <w:p w:rsidR="00FE479E" w:rsidRPr="00F77FA1" w:rsidRDefault="00FE479E" w:rsidP="00117919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F77FA1">
                    <w:rPr>
                      <w:rFonts w:cs="Arial"/>
                      <w:sz w:val="16"/>
                      <w:szCs w:val="16"/>
                    </w:rPr>
                    <w:t>Población total en el grupo de edad</w:t>
                  </w:r>
                  <w:r w:rsidRPr="00F77FA1">
                    <w:rPr>
                      <w:rFonts w:cs="Arial"/>
                      <w:i/>
                      <w:sz w:val="16"/>
                      <w:szCs w:val="16"/>
                    </w:rPr>
                    <w:t xml:space="preserve"> ge.</w:t>
                  </w:r>
                </w:p>
              </w:tc>
            </w:tr>
          </w:tbl>
          <w:p w:rsidR="00FE479E" w:rsidRPr="00F77FA1" w:rsidRDefault="00FE479E" w:rsidP="00117919">
            <w:pPr>
              <w:jc w:val="center"/>
              <w:rPr>
                <w:rFonts w:cs="Arial"/>
                <w:b/>
                <w:sz w:val="16"/>
                <w:szCs w:val="16"/>
                <w:lang w:val="es-MX"/>
              </w:rPr>
            </w:pPr>
          </w:p>
        </w:tc>
      </w:tr>
      <w:tr w:rsidR="00FE479E" w:rsidRPr="00F77FA1" w:rsidTr="00116AD9">
        <w:trPr>
          <w:trHeight w:val="584"/>
        </w:trPr>
        <w:tc>
          <w:tcPr>
            <w:tcW w:w="9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79E" w:rsidRPr="00F77FA1" w:rsidRDefault="00FE479E" w:rsidP="00117919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FE479E" w:rsidRPr="00F77FA1" w:rsidTr="00116AD9">
        <w:trPr>
          <w:trHeight w:val="1137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79E" w:rsidRPr="00F77FA1" w:rsidRDefault="004670D8" w:rsidP="000D029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F77FA1">
              <w:rPr>
                <w:rFonts w:cs="Arial"/>
                <w:b/>
                <w:sz w:val="16"/>
                <w:szCs w:val="16"/>
              </w:rPr>
              <w:t>Interpretación</w:t>
            </w:r>
          </w:p>
          <w:p w:rsidR="00FE479E" w:rsidRPr="00F77FA1" w:rsidRDefault="00155D7A" w:rsidP="005751CF">
            <w:pPr>
              <w:ind w:right="108"/>
              <w:jc w:val="both"/>
            </w:pPr>
            <w:r w:rsidRPr="00F77FA1">
              <w:rPr>
                <w:rFonts w:cs="Arial"/>
                <w:sz w:val="16"/>
                <w:szCs w:val="16"/>
              </w:rPr>
              <w:t xml:space="preserve">El indicador mide la proporción de personas que no poseen la habilidad de leer y escribir un breve recado. </w:t>
            </w:r>
            <w:r w:rsidR="001505B1" w:rsidRPr="00F77FA1">
              <w:rPr>
                <w:rFonts w:cs="Arial"/>
                <w:sz w:val="16"/>
                <w:szCs w:val="16"/>
              </w:rPr>
              <w:t xml:space="preserve">El registro de </w:t>
            </w:r>
            <w:r w:rsidRPr="00F77FA1">
              <w:rPr>
                <w:rFonts w:cs="Arial"/>
                <w:sz w:val="16"/>
                <w:szCs w:val="16"/>
              </w:rPr>
              <w:t>bajos porcentajes significa que cada vez más jóvenes y adultos ejercen su derecho a la educación. La importancia de contar con una medida de analfabetismo radica en que esta variable se relaciona con un bajo acceso a la información y con una limitada calidad de vida, porque el analfabetismo restringe el pleno</w:t>
            </w:r>
            <w:bookmarkStart w:id="0" w:name="_GoBack"/>
            <w:bookmarkEnd w:id="0"/>
            <w:r w:rsidRPr="00F77FA1">
              <w:rPr>
                <w:rFonts w:cs="Arial"/>
                <w:sz w:val="16"/>
                <w:szCs w:val="16"/>
              </w:rPr>
              <w:t xml:space="preserve"> desarrollo de las competencias elementales para adquirir otros conocimientos y genera un acotado desarrollo en el mercado laboral.</w:t>
            </w:r>
          </w:p>
        </w:tc>
      </w:tr>
      <w:tr w:rsidR="00FE479E" w:rsidRPr="00F77FA1" w:rsidTr="00116AD9">
        <w:trPr>
          <w:trHeight w:val="314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79E" w:rsidRPr="00F77FA1" w:rsidRDefault="004670D8" w:rsidP="00117919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F77FA1">
              <w:rPr>
                <w:rFonts w:cs="Arial"/>
                <w:b/>
                <w:sz w:val="16"/>
                <w:szCs w:val="16"/>
              </w:rPr>
              <w:t>Utilidad</w:t>
            </w:r>
          </w:p>
          <w:p w:rsidR="00FE479E" w:rsidRPr="00F77FA1" w:rsidRDefault="00CE441E" w:rsidP="00117919">
            <w:pPr>
              <w:ind w:right="108"/>
              <w:jc w:val="both"/>
              <w:rPr>
                <w:rFonts w:cs="Arial"/>
                <w:sz w:val="16"/>
                <w:szCs w:val="16"/>
              </w:rPr>
            </w:pPr>
            <w:r w:rsidRPr="00F77FA1">
              <w:rPr>
                <w:rFonts w:cs="Arial"/>
                <w:sz w:val="16"/>
                <w:szCs w:val="16"/>
              </w:rPr>
              <w:t>En general, el indicador sirve como una medida gruesa del rezago educativo extremo y permite la comparabilidad internacional. Los resultados que se presentan para diferentes características poblacionales señalan los retos para el cumplimiento de los objetivos de equidad que tiene el SEN y la sociedad en su conjunto.</w:t>
            </w:r>
          </w:p>
        </w:tc>
      </w:tr>
      <w:tr w:rsidR="00FE479E" w:rsidRPr="00F77FA1" w:rsidTr="00116AD9">
        <w:trPr>
          <w:trHeight w:val="368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79E" w:rsidRPr="00F77FA1" w:rsidRDefault="00FE479E" w:rsidP="00117919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F77FA1">
              <w:rPr>
                <w:rFonts w:cs="Arial"/>
                <w:b/>
                <w:sz w:val="16"/>
                <w:szCs w:val="16"/>
              </w:rPr>
              <w:t>Ofrece elementos para evaluar las siguientes dimensiones de</w:t>
            </w:r>
            <w:r w:rsidR="004670D8" w:rsidRPr="00F77FA1">
              <w:rPr>
                <w:rFonts w:cs="Arial"/>
                <w:b/>
                <w:sz w:val="16"/>
                <w:szCs w:val="16"/>
              </w:rPr>
              <w:t xml:space="preserve"> calidad educativa</w:t>
            </w:r>
          </w:p>
          <w:p w:rsidR="00FE479E" w:rsidRPr="00F77FA1" w:rsidRDefault="00FE479E" w:rsidP="00117919">
            <w:pPr>
              <w:jc w:val="both"/>
              <w:rPr>
                <w:rFonts w:cs="Arial"/>
                <w:sz w:val="16"/>
                <w:szCs w:val="16"/>
              </w:rPr>
            </w:pPr>
            <w:r w:rsidRPr="00F77FA1">
              <w:rPr>
                <w:rFonts w:cs="Arial"/>
                <w:sz w:val="16"/>
                <w:szCs w:val="16"/>
              </w:rPr>
              <w:t>Eficacia y equidad</w:t>
            </w:r>
          </w:p>
        </w:tc>
      </w:tr>
      <w:tr w:rsidR="00FE479E" w:rsidRPr="00F77FA1" w:rsidTr="00116AD9">
        <w:trPr>
          <w:trHeight w:val="1676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79E" w:rsidRPr="00F77FA1" w:rsidRDefault="004670D8" w:rsidP="00117919">
            <w:pPr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F77FA1">
              <w:rPr>
                <w:rFonts w:cs="Arial"/>
                <w:b/>
                <w:sz w:val="16"/>
                <w:szCs w:val="16"/>
              </w:rPr>
              <w:t>Desagregación</w:t>
            </w:r>
          </w:p>
          <w:p w:rsidR="004A38E4" w:rsidRPr="00F77FA1" w:rsidRDefault="00F171D5" w:rsidP="00F77FA1">
            <w:pPr>
              <w:spacing w:before="40"/>
              <w:ind w:right="108"/>
              <w:jc w:val="both"/>
              <w:rPr>
                <w:rFonts w:cs="Arial"/>
                <w:b/>
                <w:sz w:val="16"/>
                <w:szCs w:val="16"/>
              </w:rPr>
            </w:pPr>
            <w:r w:rsidRPr="00F77FA1">
              <w:rPr>
                <w:rFonts w:cs="Arial"/>
                <w:sz w:val="16"/>
                <w:szCs w:val="16"/>
              </w:rPr>
              <w:t>Entidad federativa</w:t>
            </w:r>
            <w:r w:rsidR="00385986" w:rsidRPr="00F77FA1">
              <w:rPr>
                <w:rFonts w:cs="Arial"/>
                <w:sz w:val="16"/>
                <w:szCs w:val="16"/>
              </w:rPr>
              <w:t>; subpoblaciones seleccionadas:</w:t>
            </w:r>
            <w:r w:rsidR="00385986" w:rsidRPr="00F77FA1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F77FA1">
              <w:rPr>
                <w:rFonts w:cs="Arial"/>
                <w:sz w:val="16"/>
                <w:szCs w:val="16"/>
              </w:rPr>
              <w:t xml:space="preserve"> sexo (hombres y mujeres), tamaño de localidad (rural, semiurbana y urbana), marginación (alta o baja), condición étnica (población indígena</w:t>
            </w:r>
            <w:r w:rsidR="00385986" w:rsidRPr="00F77FA1">
              <w:rPr>
                <w:rFonts w:cs="Arial"/>
                <w:sz w:val="16"/>
                <w:szCs w:val="16"/>
                <w:vertAlign w:val="superscript"/>
              </w:rPr>
              <w:t>3</w:t>
            </w:r>
            <w:r w:rsidRPr="00F77FA1">
              <w:rPr>
                <w:rFonts w:cs="Arial"/>
                <w:sz w:val="16"/>
                <w:szCs w:val="16"/>
              </w:rPr>
              <w:t xml:space="preserve"> y resto de la población), tipo de condición (con discapacidad y sin discapacidad) y nivel de escolaridad del jefe de hogar (sin instrucción, básica incompleta, básica completa, media superior completa y superior completa).</w:t>
            </w:r>
          </w:p>
          <w:p w:rsidR="00385986" w:rsidRPr="00F77FA1" w:rsidRDefault="00385986" w:rsidP="00385986">
            <w:pPr>
              <w:pStyle w:val="Prrafodelista"/>
              <w:numPr>
                <w:ilvl w:val="0"/>
                <w:numId w:val="1"/>
              </w:numPr>
              <w:ind w:left="227" w:hanging="227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F77FA1">
              <w:rPr>
                <w:rFonts w:ascii="Arial" w:hAnsi="Arial" w:cs="Arial"/>
                <w:b/>
                <w:sz w:val="16"/>
                <w:szCs w:val="16"/>
              </w:rPr>
              <w:t>Máximo nivel de desagregación</w:t>
            </w:r>
            <w:r w:rsidRPr="00F77FA1">
              <w:rPr>
                <w:rFonts w:ascii="Arial" w:hAnsi="Arial" w:cs="Arial"/>
                <w:sz w:val="16"/>
                <w:szCs w:val="16"/>
              </w:rPr>
              <w:t>: para las subpoblaciones derivadas de la Encuesta Nacional de Ingresos y Gastos de los Hogares 2016: entidad federativa.</w:t>
            </w:r>
          </w:p>
          <w:p w:rsidR="004A38E4" w:rsidRPr="00F77FA1" w:rsidRDefault="004A38E4" w:rsidP="004A38E4">
            <w:pPr>
              <w:spacing w:before="40"/>
              <w:ind w:right="108"/>
              <w:rPr>
                <w:rFonts w:cs="Arial"/>
                <w:b/>
                <w:sz w:val="16"/>
                <w:szCs w:val="16"/>
              </w:rPr>
            </w:pPr>
            <w:r w:rsidRPr="00F77FA1">
              <w:rPr>
                <w:rFonts w:cs="Arial"/>
                <w:b/>
                <w:sz w:val="16"/>
                <w:szCs w:val="16"/>
              </w:rPr>
              <w:t>Fuentes de información</w:t>
            </w:r>
          </w:p>
          <w:p w:rsidR="00C66A5B" w:rsidRPr="00F77FA1" w:rsidRDefault="009664E1" w:rsidP="00C66A5B">
            <w:pPr>
              <w:rPr>
                <w:rFonts w:cs="Arial"/>
                <w:sz w:val="16"/>
                <w:szCs w:val="16"/>
              </w:rPr>
            </w:pPr>
            <w:proofErr w:type="spellStart"/>
            <w:r w:rsidRPr="00F77FA1">
              <w:rPr>
                <w:rFonts w:cs="Arial"/>
                <w:smallCaps/>
                <w:sz w:val="16"/>
                <w:szCs w:val="16"/>
                <w:lang w:val="es-419"/>
              </w:rPr>
              <w:t>Conapo</w:t>
            </w:r>
            <w:proofErr w:type="spellEnd"/>
            <w:r w:rsidR="00C66A5B" w:rsidRPr="00F77FA1">
              <w:rPr>
                <w:rFonts w:cs="Arial"/>
                <w:sz w:val="16"/>
                <w:szCs w:val="16"/>
              </w:rPr>
              <w:t xml:space="preserve"> (2010). Índice de marginación por municipio 2010 (base de datos).</w:t>
            </w:r>
          </w:p>
          <w:p w:rsidR="00C66A5B" w:rsidRPr="00F77FA1" w:rsidRDefault="009664E1" w:rsidP="00C66A5B">
            <w:pPr>
              <w:rPr>
                <w:rFonts w:cs="Arial"/>
                <w:sz w:val="16"/>
                <w:szCs w:val="16"/>
              </w:rPr>
            </w:pPr>
            <w:proofErr w:type="spellStart"/>
            <w:r w:rsidRPr="00F77FA1">
              <w:rPr>
                <w:rFonts w:cs="Arial"/>
                <w:smallCaps/>
                <w:sz w:val="16"/>
                <w:szCs w:val="16"/>
                <w:lang w:val="es-419"/>
              </w:rPr>
              <w:t>Conapo</w:t>
            </w:r>
            <w:proofErr w:type="spellEnd"/>
            <w:r w:rsidR="00C66A5B" w:rsidRPr="00F77FA1">
              <w:rPr>
                <w:rFonts w:cs="Arial"/>
                <w:sz w:val="16"/>
                <w:szCs w:val="16"/>
              </w:rPr>
              <w:t xml:space="preserve"> (2015). Índice de marginación por municipio 2015 (base de datos).</w:t>
            </w:r>
          </w:p>
          <w:p w:rsidR="00C66A5B" w:rsidRPr="00F77FA1" w:rsidRDefault="009664E1" w:rsidP="00C66A5B">
            <w:pPr>
              <w:rPr>
                <w:rFonts w:cs="Arial"/>
                <w:sz w:val="16"/>
                <w:szCs w:val="16"/>
              </w:rPr>
            </w:pPr>
            <w:r w:rsidRPr="00F77FA1">
              <w:rPr>
                <w:rFonts w:cs="Arial"/>
                <w:caps/>
                <w:sz w:val="16"/>
                <w:szCs w:val="16"/>
                <w:lang w:val="es-419"/>
              </w:rPr>
              <w:t>Inegi</w:t>
            </w:r>
            <w:r w:rsidR="00C66A5B" w:rsidRPr="00F77FA1">
              <w:rPr>
                <w:rFonts w:cs="Arial"/>
                <w:sz w:val="16"/>
                <w:szCs w:val="16"/>
              </w:rPr>
              <w:t xml:space="preserve"> (2009). Encuesta Nacional de Ingresos y Gastos de los Hogares 2008, Módulo de Condiciones Socioeconómicas (base de </w:t>
            </w:r>
            <w:proofErr w:type="spellStart"/>
            <w:r w:rsidR="00C66A5B" w:rsidRPr="00F77FA1">
              <w:rPr>
                <w:rFonts w:cs="Arial"/>
                <w:sz w:val="16"/>
                <w:szCs w:val="16"/>
              </w:rPr>
              <w:t>microdatos</w:t>
            </w:r>
            <w:proofErr w:type="spellEnd"/>
            <w:r w:rsidR="00C66A5B" w:rsidRPr="00F77FA1">
              <w:rPr>
                <w:rFonts w:cs="Arial"/>
                <w:sz w:val="16"/>
                <w:szCs w:val="16"/>
              </w:rPr>
              <w:t>).</w:t>
            </w:r>
          </w:p>
          <w:p w:rsidR="00C66A5B" w:rsidRPr="00F77FA1" w:rsidRDefault="009664E1" w:rsidP="00C66A5B">
            <w:pPr>
              <w:rPr>
                <w:rFonts w:cs="Arial"/>
                <w:sz w:val="16"/>
                <w:szCs w:val="16"/>
              </w:rPr>
            </w:pPr>
            <w:r w:rsidRPr="00F77FA1">
              <w:rPr>
                <w:rFonts w:cs="Arial"/>
                <w:caps/>
                <w:sz w:val="16"/>
                <w:szCs w:val="16"/>
                <w:lang w:val="es-419"/>
              </w:rPr>
              <w:t>Inegi</w:t>
            </w:r>
            <w:r w:rsidRPr="00F77FA1" w:rsidDel="009664E1">
              <w:rPr>
                <w:rFonts w:cs="Arial"/>
                <w:sz w:val="16"/>
                <w:szCs w:val="16"/>
              </w:rPr>
              <w:t xml:space="preserve"> </w:t>
            </w:r>
            <w:r w:rsidR="00C66A5B" w:rsidRPr="00F77FA1">
              <w:rPr>
                <w:rFonts w:cs="Arial"/>
                <w:sz w:val="16"/>
                <w:szCs w:val="16"/>
              </w:rPr>
              <w:t>(2013</w:t>
            </w:r>
            <w:r w:rsidRPr="00F77FA1">
              <w:rPr>
                <w:rFonts w:cs="Arial"/>
                <w:sz w:val="16"/>
                <w:szCs w:val="16"/>
              </w:rPr>
              <w:t>a</w:t>
            </w:r>
            <w:r w:rsidR="00C66A5B" w:rsidRPr="00F77FA1">
              <w:rPr>
                <w:rFonts w:cs="Arial"/>
                <w:sz w:val="16"/>
                <w:szCs w:val="16"/>
              </w:rPr>
              <w:t xml:space="preserve">). Encuesta Nacional de Ingresos y Gastos de los Hogares 2012, Módulo de Condiciones Socioeconómicas (base de </w:t>
            </w:r>
            <w:proofErr w:type="spellStart"/>
            <w:r w:rsidR="00C66A5B" w:rsidRPr="00F77FA1">
              <w:rPr>
                <w:rFonts w:cs="Arial"/>
                <w:sz w:val="16"/>
                <w:szCs w:val="16"/>
              </w:rPr>
              <w:t>microdatos</w:t>
            </w:r>
            <w:proofErr w:type="spellEnd"/>
            <w:r w:rsidR="00C66A5B" w:rsidRPr="00F77FA1">
              <w:rPr>
                <w:rFonts w:cs="Arial"/>
                <w:sz w:val="16"/>
                <w:szCs w:val="16"/>
              </w:rPr>
              <w:t>).</w:t>
            </w:r>
          </w:p>
          <w:p w:rsidR="00C66A5B" w:rsidRPr="00F77FA1" w:rsidRDefault="009664E1" w:rsidP="00C66A5B">
            <w:pPr>
              <w:ind w:right="108"/>
              <w:jc w:val="both"/>
              <w:rPr>
                <w:rFonts w:cs="Arial"/>
                <w:sz w:val="16"/>
                <w:szCs w:val="16"/>
              </w:rPr>
            </w:pPr>
            <w:r w:rsidRPr="00F77FA1">
              <w:rPr>
                <w:rFonts w:cs="Arial"/>
                <w:caps/>
                <w:sz w:val="16"/>
                <w:szCs w:val="16"/>
                <w:lang w:val="es-419"/>
              </w:rPr>
              <w:t>Inegi</w:t>
            </w:r>
            <w:r w:rsidR="00C66A5B" w:rsidRPr="00F77FA1">
              <w:rPr>
                <w:rFonts w:cs="Arial"/>
                <w:sz w:val="16"/>
                <w:szCs w:val="16"/>
              </w:rPr>
              <w:t xml:space="preserve"> (201</w:t>
            </w:r>
            <w:r w:rsidRPr="00F77FA1">
              <w:rPr>
                <w:rFonts w:cs="Arial"/>
                <w:sz w:val="16"/>
                <w:szCs w:val="16"/>
              </w:rPr>
              <w:t>7</w:t>
            </w:r>
            <w:r w:rsidR="00C66A5B" w:rsidRPr="00F77FA1">
              <w:rPr>
                <w:rFonts w:cs="Arial"/>
                <w:sz w:val="16"/>
                <w:szCs w:val="16"/>
              </w:rPr>
              <w:t xml:space="preserve">). Encuesta Nacional de Ingresos y Gastos de los Hogares 2016 (base de </w:t>
            </w:r>
            <w:proofErr w:type="spellStart"/>
            <w:r w:rsidR="00C66A5B" w:rsidRPr="00F77FA1">
              <w:rPr>
                <w:rFonts w:cs="Arial"/>
                <w:sz w:val="16"/>
                <w:szCs w:val="16"/>
              </w:rPr>
              <w:t>microdatos</w:t>
            </w:r>
            <w:proofErr w:type="spellEnd"/>
            <w:r w:rsidR="00C66A5B" w:rsidRPr="00F77FA1">
              <w:rPr>
                <w:rFonts w:cs="Arial"/>
                <w:sz w:val="16"/>
                <w:szCs w:val="16"/>
              </w:rPr>
              <w:t>).</w:t>
            </w:r>
          </w:p>
          <w:p w:rsidR="00FE479E" w:rsidRPr="00F77FA1" w:rsidRDefault="004670D8" w:rsidP="007F68A8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F77FA1">
              <w:rPr>
                <w:rFonts w:cs="Arial"/>
                <w:b/>
                <w:bCs/>
                <w:sz w:val="16"/>
                <w:szCs w:val="16"/>
              </w:rPr>
              <w:t>Notas</w:t>
            </w:r>
          </w:p>
          <w:p w:rsidR="00FE479E" w:rsidRPr="00F77FA1" w:rsidRDefault="00FE479E" w:rsidP="00117919">
            <w:pPr>
              <w:autoSpaceDE w:val="0"/>
              <w:autoSpaceDN w:val="0"/>
              <w:adjustRightInd w:val="0"/>
              <w:jc w:val="both"/>
              <w:rPr>
                <w:rFonts w:cs="Arial"/>
                <w:sz w:val="12"/>
                <w:szCs w:val="12"/>
                <w:shd w:val="clear" w:color="auto" w:fill="FFFFFF"/>
                <w:vertAlign w:val="superscript"/>
              </w:rPr>
            </w:pPr>
            <w:r w:rsidRPr="00F77FA1">
              <w:rPr>
                <w:rFonts w:cs="Tahoma"/>
                <w:sz w:val="12"/>
                <w:szCs w:val="12"/>
                <w:vertAlign w:val="superscript"/>
              </w:rPr>
              <w:t>1</w:t>
            </w:r>
            <w:r w:rsidRPr="00F77FA1">
              <w:rPr>
                <w:rFonts w:cs="Tahoma"/>
                <w:sz w:val="12"/>
                <w:szCs w:val="12"/>
              </w:rPr>
              <w:t xml:space="preserve"> Se consideraron diversos criterios para definir </w:t>
            </w:r>
            <w:r w:rsidR="004420F9" w:rsidRPr="00F77FA1">
              <w:rPr>
                <w:rFonts w:cs="Tahoma"/>
                <w:sz w:val="12"/>
                <w:szCs w:val="12"/>
              </w:rPr>
              <w:t xml:space="preserve">los grupos de edad: el grupo 15 a </w:t>
            </w:r>
            <w:r w:rsidRPr="00F77FA1">
              <w:rPr>
                <w:rFonts w:cs="Tahoma"/>
                <w:sz w:val="12"/>
                <w:szCs w:val="12"/>
              </w:rPr>
              <w:t>24 es importante porque delimita las edade</w:t>
            </w:r>
            <w:r w:rsidR="004F6ED8" w:rsidRPr="00F77FA1">
              <w:rPr>
                <w:rFonts w:cs="Tahoma"/>
                <w:sz w:val="12"/>
                <w:szCs w:val="12"/>
              </w:rPr>
              <w:t>s que organismos, como la OCDE</w:t>
            </w:r>
            <w:r w:rsidR="005A590C" w:rsidRPr="00F77FA1">
              <w:rPr>
                <w:rFonts w:cs="Tahoma"/>
                <w:sz w:val="12"/>
                <w:szCs w:val="12"/>
              </w:rPr>
              <w:t>,</w:t>
            </w:r>
            <w:r w:rsidRPr="00F77FA1">
              <w:rPr>
                <w:rFonts w:cs="Tahoma"/>
                <w:sz w:val="12"/>
                <w:szCs w:val="12"/>
              </w:rPr>
              <w:t xml:space="preserve"> asignan a los jóvenes; el de </w:t>
            </w:r>
            <w:r w:rsidR="005A590C" w:rsidRPr="00F77FA1">
              <w:rPr>
                <w:rFonts w:cs="Tahoma"/>
                <w:sz w:val="12"/>
                <w:szCs w:val="12"/>
              </w:rPr>
              <w:t>5</w:t>
            </w:r>
            <w:r w:rsidR="004420F9" w:rsidRPr="00F77FA1">
              <w:rPr>
                <w:rFonts w:cs="Tahoma"/>
                <w:sz w:val="12"/>
                <w:szCs w:val="12"/>
              </w:rPr>
              <w:t xml:space="preserve">5 a </w:t>
            </w:r>
            <w:r w:rsidRPr="00F77FA1">
              <w:rPr>
                <w:rFonts w:cs="Tahoma"/>
                <w:sz w:val="12"/>
                <w:szCs w:val="12"/>
              </w:rPr>
              <w:t xml:space="preserve">64 permite mantener la comparabilidad nacional e internacional, dado que la OCDE </w:t>
            </w:r>
            <w:r w:rsidR="005A590C" w:rsidRPr="00F77FA1">
              <w:rPr>
                <w:rFonts w:cs="Tahoma"/>
                <w:sz w:val="12"/>
                <w:szCs w:val="12"/>
              </w:rPr>
              <w:t>la maneja como referente</w:t>
            </w:r>
            <w:r w:rsidR="00715D9D" w:rsidRPr="00F77FA1">
              <w:rPr>
                <w:rFonts w:cs="Tahoma"/>
                <w:sz w:val="12"/>
                <w:szCs w:val="12"/>
              </w:rPr>
              <w:t>;</w:t>
            </w:r>
            <w:r w:rsidRPr="00F77FA1">
              <w:rPr>
                <w:rFonts w:cs="Tahoma"/>
                <w:sz w:val="12"/>
                <w:szCs w:val="12"/>
              </w:rPr>
              <w:t xml:space="preserve"> el grupo 15 y más es el que toma la UNESCO cuando refiere a la población de los países.</w:t>
            </w:r>
          </w:p>
          <w:p w:rsidR="00FE479E" w:rsidRPr="00F77FA1" w:rsidRDefault="0099453E" w:rsidP="00E968C0">
            <w:pPr>
              <w:autoSpaceDE w:val="0"/>
              <w:autoSpaceDN w:val="0"/>
              <w:adjustRightInd w:val="0"/>
              <w:jc w:val="both"/>
              <w:rPr>
                <w:rFonts w:cs="Arial"/>
                <w:sz w:val="12"/>
                <w:szCs w:val="12"/>
              </w:rPr>
            </w:pPr>
            <w:r w:rsidRPr="00F77FA1">
              <w:rPr>
                <w:rFonts w:cs="Arial"/>
                <w:sz w:val="12"/>
                <w:szCs w:val="12"/>
                <w:shd w:val="clear" w:color="auto" w:fill="FFFFFF"/>
                <w:vertAlign w:val="superscript"/>
              </w:rPr>
              <w:t xml:space="preserve">2 </w:t>
            </w:r>
            <w:r w:rsidR="003D37D1" w:rsidRPr="00F77FA1">
              <w:rPr>
                <w:rFonts w:cs="Arial"/>
                <w:sz w:val="12"/>
                <w:szCs w:val="12"/>
              </w:rPr>
              <w:t xml:space="preserve">Ver la nota técnica “Subpoblaciones, nivel de escolaridad y población atendible” </w:t>
            </w:r>
            <w:r w:rsidR="009664E1" w:rsidRPr="00F77FA1">
              <w:rPr>
                <w:rFonts w:cs="Arial"/>
                <w:iCs/>
                <w:color w:val="000000"/>
                <w:sz w:val="12"/>
                <w:szCs w:val="12"/>
              </w:rPr>
              <w:t xml:space="preserve">en </w:t>
            </w:r>
            <w:r w:rsidR="009664E1" w:rsidRPr="00F77FA1">
              <w:rPr>
                <w:rFonts w:cs="Arial"/>
                <w:i/>
                <w:iCs/>
                <w:color w:val="000000"/>
                <w:sz w:val="12"/>
                <w:szCs w:val="12"/>
              </w:rPr>
              <w:t xml:space="preserve">Panorama Educativo de México 2017 </w:t>
            </w:r>
            <w:r w:rsidR="009664E1" w:rsidRPr="00F77FA1">
              <w:rPr>
                <w:rFonts w:cs="Arial"/>
                <w:iCs/>
                <w:color w:val="000000"/>
                <w:sz w:val="12"/>
                <w:szCs w:val="12"/>
              </w:rPr>
              <w:t>(INEE, 2018b, pp. 167-170)</w:t>
            </w:r>
            <w:r w:rsidR="003D37D1" w:rsidRPr="00F77FA1">
              <w:rPr>
                <w:rFonts w:cs="Arial"/>
                <w:sz w:val="12"/>
                <w:szCs w:val="12"/>
              </w:rPr>
              <w:t>.</w:t>
            </w:r>
          </w:p>
          <w:p w:rsidR="006F2912" w:rsidRPr="00F77FA1" w:rsidRDefault="006F2912" w:rsidP="00E968C0">
            <w:pPr>
              <w:autoSpaceDE w:val="0"/>
              <w:autoSpaceDN w:val="0"/>
              <w:adjustRightInd w:val="0"/>
              <w:jc w:val="both"/>
              <w:rPr>
                <w:rFonts w:cs="Arial"/>
                <w:sz w:val="12"/>
                <w:szCs w:val="12"/>
                <w:shd w:val="clear" w:color="auto" w:fill="FFFFFF"/>
              </w:rPr>
            </w:pPr>
            <w:r w:rsidRPr="00F77FA1">
              <w:rPr>
                <w:rFonts w:cs="Arial"/>
                <w:sz w:val="12"/>
                <w:szCs w:val="12"/>
                <w:shd w:val="clear" w:color="auto" w:fill="FFFFFF"/>
                <w:vertAlign w:val="superscript"/>
              </w:rPr>
              <w:t>3</w:t>
            </w:r>
            <w:r w:rsidRPr="00F77FA1">
              <w:rPr>
                <w:rFonts w:cs="Arial"/>
                <w:sz w:val="12"/>
                <w:szCs w:val="12"/>
                <w:shd w:val="clear" w:color="auto" w:fill="FFFFFF"/>
              </w:rPr>
              <w:t xml:space="preserve"> </w:t>
            </w:r>
            <w:r w:rsidRPr="00F77FA1">
              <w:rPr>
                <w:rFonts w:cs="Arial"/>
                <w:sz w:val="12"/>
                <w:szCs w:val="12"/>
              </w:rPr>
              <w:t xml:space="preserve">Según criterio de la CDI. Ver también la nota técnica “Subpoblaciones, nivel de escolaridad y población atendible” </w:t>
            </w:r>
            <w:r w:rsidRPr="00F77FA1">
              <w:rPr>
                <w:rFonts w:cs="Arial"/>
                <w:iCs/>
                <w:color w:val="000000"/>
                <w:sz w:val="12"/>
                <w:szCs w:val="12"/>
              </w:rPr>
              <w:t xml:space="preserve">en </w:t>
            </w:r>
            <w:r w:rsidRPr="00F77FA1">
              <w:rPr>
                <w:rFonts w:cs="Arial"/>
                <w:i/>
                <w:iCs/>
                <w:color w:val="000000"/>
                <w:sz w:val="12"/>
                <w:szCs w:val="12"/>
              </w:rPr>
              <w:t xml:space="preserve">Panorama Educativo de México 2017 </w:t>
            </w:r>
            <w:r w:rsidRPr="00F77FA1">
              <w:rPr>
                <w:rFonts w:cs="Arial"/>
                <w:iCs/>
                <w:color w:val="000000"/>
                <w:sz w:val="12"/>
                <w:szCs w:val="12"/>
              </w:rPr>
              <w:t>(INEE, 2018b, pp. 167-170).</w:t>
            </w:r>
          </w:p>
        </w:tc>
      </w:tr>
    </w:tbl>
    <w:p w:rsidR="00FA0B6E" w:rsidRPr="00F77FA1" w:rsidRDefault="00FA0B6E" w:rsidP="00FE479E"/>
    <w:p w:rsidR="00FA0B6E" w:rsidRPr="00F77FA1" w:rsidRDefault="00FA0B6E">
      <w:pPr>
        <w:spacing w:after="200" w:line="276" w:lineRule="auto"/>
      </w:pPr>
      <w:r w:rsidRPr="00F77FA1">
        <w:br w:type="page"/>
      </w:r>
    </w:p>
    <w:p w:rsidR="00FE479E" w:rsidRDefault="0048523C" w:rsidP="00FE479E">
      <w:r w:rsidRPr="00F77FA1">
        <w:rPr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1DAFEDD" wp14:editId="4970125E">
                <wp:simplePos x="0" y="0"/>
                <wp:positionH relativeFrom="column">
                  <wp:posOffset>4863</wp:posOffset>
                </wp:positionH>
                <wp:positionV relativeFrom="paragraph">
                  <wp:posOffset>172740</wp:posOffset>
                </wp:positionV>
                <wp:extent cx="5616054" cy="3753134"/>
                <wp:effectExtent l="0" t="0" r="22860" b="19050"/>
                <wp:wrapNone/>
                <wp:docPr id="1" name="Rectángulo redondead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6054" cy="3753134"/>
                        </a:xfrm>
                        <a:prstGeom prst="roundRect">
                          <a:avLst>
                            <a:gd name="adj" fmla="val 597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A38E4" w:rsidRPr="00135FB9" w:rsidRDefault="004A38E4" w:rsidP="004A38E4">
                            <w:pPr>
                              <w:spacing w:after="60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  <w:r w:rsidRPr="00135FB9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W w:w="8036" w:type="dxa"/>
                              <w:jc w:val="center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92"/>
                              <w:gridCol w:w="2450"/>
                              <w:gridCol w:w="1843"/>
                              <w:gridCol w:w="2551"/>
                            </w:tblGrid>
                            <w:tr w:rsidR="004A38E4" w:rsidRPr="00645389" w:rsidTr="008D3CB6">
                              <w:trPr>
                                <w:trHeight w:val="45"/>
                                <w:jc w:val="center"/>
                              </w:trPr>
                              <w:tc>
                                <w:tcPr>
                                  <w:tcW w:w="8036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4337E1" w:rsidRDefault="004A38E4" w:rsidP="00645389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bookmarkStart w:id="1" w:name="_Hlk277097957"/>
                                  <w:r w:rsidRPr="004337E1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Porcentaje de población analfa</w:t>
                                  </w:r>
                                  <w:r w:rsidR="00A22CAA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beta de 15 años o más (1895-2015</w:t>
                                  </w:r>
                                  <w:r w:rsidRPr="004337E1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4A38E4" w:rsidRPr="00645389" w:rsidTr="008D3CB6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645389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Año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645389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Analfabetismo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645389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Año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645389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Analfabetismo</w:t>
                                  </w:r>
                                </w:p>
                              </w:tc>
                            </w:tr>
                            <w:tr w:rsidR="004A38E4" w:rsidRPr="00645389" w:rsidTr="00E45740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1895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82.1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1970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D01BB7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3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4A38E4" w:rsidRPr="00645389" w:rsidTr="00E45740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1900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77.7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1980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17.0</w:t>
                                  </w:r>
                                </w:p>
                              </w:tc>
                            </w:tr>
                            <w:tr w:rsidR="004A38E4" w:rsidRPr="00645389" w:rsidTr="00E45740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1910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72.3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1990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12.4</w:t>
                                  </w:r>
                                </w:p>
                              </w:tc>
                            </w:tr>
                            <w:tr w:rsidR="004A38E4" w:rsidRPr="00645389" w:rsidTr="00E45740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1921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66.2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9.5</w:t>
                                  </w:r>
                                </w:p>
                              </w:tc>
                            </w:tr>
                            <w:tr w:rsidR="004A38E4" w:rsidRPr="00645389" w:rsidTr="00E45740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1930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61.5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8.4</w:t>
                                  </w:r>
                                </w:p>
                              </w:tc>
                            </w:tr>
                            <w:tr w:rsidR="004A38E4" w:rsidRPr="00645389" w:rsidTr="00E45740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1940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58.2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DB643A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6.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4A38E4" w:rsidRPr="00645389" w:rsidTr="00E45740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1950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64538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43.2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3116A3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2015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DB643A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5.5</w:t>
                                  </w:r>
                                </w:p>
                              </w:tc>
                            </w:tr>
                            <w:tr w:rsidR="004A38E4" w:rsidRPr="00645389" w:rsidTr="00E45740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3116A3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1960</w:t>
                                  </w:r>
                                </w:p>
                              </w:tc>
                              <w:tc>
                                <w:tcPr>
                                  <w:tcW w:w="24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645389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3116A3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33.5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Pr="003116A3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4A38E4" w:rsidRDefault="004A38E4" w:rsidP="003116A3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38E4" w:rsidRPr="00645389" w:rsidTr="00E45740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8036" w:type="dxa"/>
                                  <w:gridSpan w:val="4"/>
                                  <w:tcBorders>
                                    <w:top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4A38E4" w:rsidRPr="00797F05" w:rsidRDefault="004A38E4" w:rsidP="003116A3">
                                  <w:pPr>
                                    <w:jc w:val="both"/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</w:pPr>
                                  <w:r w:rsidRPr="00244A3A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 xml:space="preserve">Notas: 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e</w:t>
                                  </w:r>
                                  <w:r w:rsidRPr="00244A3A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n los años 1895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, 1940 y 1950 </w:t>
                                  </w:r>
                                  <w:r w:rsidRPr="00244A3A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 xml:space="preserve">la medida de analfabetismo comprende a la población de 6 años o más que no sabe leer ni escribir. 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En los años 1900, 1910, 1921, 1930 1960 y 1970 la medida de analfabetismo comprende a la población de 10 años y más que no sabe leer ni escribir. 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De 19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8</w:t>
                                  </w:r>
                                  <w:r w:rsidRPr="00244A3A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0</w:t>
                                  </w:r>
                                  <w:r w:rsidR="009769D1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2016</w:t>
                                  </w:r>
                                  <w:r w:rsidRPr="00244A3A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 xml:space="preserve">, el analfabetismo se compone con la población de 15 años o más que no sabe leer ni escribir. </w:t>
                                  </w:r>
                                </w:p>
                                <w:p w:rsidR="004A38E4" w:rsidRPr="00645389" w:rsidRDefault="004A38E4" w:rsidP="003116A3">
                                  <w:pPr>
                                    <w:jc w:val="both"/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Fuente</w:t>
                                  </w:r>
                                  <w:r w:rsidR="00CC4C73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 xml:space="preserve">: 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>Estadísticas Históricas de México 20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>14</w:t>
                                  </w:r>
                                  <w:r w:rsidR="00CC4C73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 xml:space="preserve">: 3 Educación </w:t>
                                  </w:r>
                                  <w:r w:rsidRPr="001502FB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(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INEGI, </w:t>
                                  </w:r>
                                  <w:r w:rsidRPr="001502FB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2015</w:t>
                                  </w:r>
                                  <w:r w:rsidR="00CC4C73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a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,</w:t>
                                  </w:r>
                                  <w:r w:rsidRPr="001502FB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pp. 24-63)</w:t>
                                  </w:r>
                                  <w:r w:rsidRPr="001502FB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 xml:space="preserve"> y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 w:rsidR="00CC4C73"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Principales resultados de la 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>Encuesta Intercensal</w:t>
                                  </w:r>
                                  <w:r w:rsidR="00CC4C73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2015</w:t>
                                  </w:r>
                                  <w:r w:rsidRPr="001502FB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(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INEGI, 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2015)</w:t>
                                  </w:r>
                                  <w:r w:rsidRPr="001502FB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:rsidR="004A38E4" w:rsidRDefault="004A38E4" w:rsidP="004A38E4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7544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2940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600"/>
                              <w:gridCol w:w="572"/>
                              <w:gridCol w:w="572"/>
                            </w:tblGrid>
                            <w:tr w:rsidR="0048523C" w:rsidRPr="009A17D8" w:rsidTr="0048523C">
                              <w:trPr>
                                <w:trHeight w:val="66"/>
                                <w:jc w:val="center"/>
                              </w:trPr>
                              <w:tc>
                                <w:tcPr>
                                  <w:tcW w:w="6400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noWrap/>
                                </w:tcPr>
                                <w:p w:rsidR="0048523C" w:rsidRPr="009A17D8" w:rsidRDefault="0048523C" w:rsidP="00563145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Porcentaje de población analfa</w:t>
                                  </w:r>
                                  <w:r w:rsidR="00A22CAA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beta de 15 años o más (1970-2014</w:t>
                                  </w:r>
                                  <w:r w:rsidRPr="009A17D8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48523C" w:rsidRPr="009A17D8" w:rsidRDefault="0048523C" w:rsidP="00563145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48523C" w:rsidRPr="009A17D8" w:rsidRDefault="0048523C" w:rsidP="00563145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523C" w:rsidRPr="009A17D8" w:rsidTr="0048523C">
                              <w:trPr>
                                <w:trHeight w:val="174"/>
                                <w:jc w:val="center"/>
                              </w:trPr>
                              <w:tc>
                                <w:tcPr>
                                  <w:tcW w:w="2940" w:type="dxa"/>
                                  <w:tcBorders>
                                    <w:top w:val="single" w:sz="4" w:space="0" w:color="auto"/>
                                  </w:tcBorders>
                                  <w:noWrap/>
                                </w:tcPr>
                                <w:p w:rsidR="0048523C" w:rsidRPr="009A17D8" w:rsidRDefault="0048523C" w:rsidP="004337E1">
                                  <w:pPr>
                                    <w:ind w:firstLineChars="100" w:firstLine="160"/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Países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B94D8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1970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B94D8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1980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B94D8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1990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B94D8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B94D8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B94D8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2010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8523C" w:rsidRPr="009A17D8" w:rsidRDefault="00055620" w:rsidP="00B94D8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48523C" w:rsidRPr="009A17D8" w:rsidRDefault="00055620" w:rsidP="00B94D8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2016</w:t>
                                  </w:r>
                                </w:p>
                              </w:tc>
                            </w:tr>
                            <w:tr w:rsidR="0048523C" w:rsidRPr="009A17D8" w:rsidTr="0048523C">
                              <w:trPr>
                                <w:trHeight w:val="126"/>
                                <w:jc w:val="center"/>
                              </w:trPr>
                              <w:tc>
                                <w:tcPr>
                                  <w:tcW w:w="2940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Argentina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7.4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6.0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4.2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3.1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2.8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0.9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</w:tcPr>
                                <w:p w:rsidR="0048523C" w:rsidRPr="009A17D8" w:rsidRDefault="00055620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1.0</w:t>
                                  </w:r>
                                </w:p>
                              </w:tc>
                            </w:tr>
                            <w:tr w:rsidR="0048523C" w:rsidRPr="009A17D8" w:rsidTr="0048523C">
                              <w:trPr>
                                <w:trHeight w:val="110"/>
                                <w:jc w:val="center"/>
                              </w:trPr>
                              <w:tc>
                                <w:tcPr>
                                  <w:tcW w:w="2940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Chile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11.0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8.5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6.0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4.3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3.5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2.9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</w:tcPr>
                                <w:p w:rsidR="0048523C" w:rsidRPr="009A17D8" w:rsidRDefault="00055620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3.7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</w:tcPr>
                                <w:p w:rsidR="0048523C" w:rsidRPr="009A17D8" w:rsidRDefault="00055620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3.1</w:t>
                                  </w:r>
                                </w:p>
                              </w:tc>
                            </w:tr>
                            <w:tr w:rsidR="0048523C" w:rsidRPr="009A17D8" w:rsidTr="0048523C">
                              <w:trPr>
                                <w:trHeight w:val="186"/>
                                <w:jc w:val="center"/>
                              </w:trPr>
                              <w:tc>
                                <w:tcPr>
                                  <w:tcW w:w="2940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Venezuela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23.5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15.1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9.9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.0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.0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4.8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3.9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</w:tcPr>
                                <w:p w:rsidR="0048523C" w:rsidRPr="0048523C" w:rsidRDefault="00055620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3.7</w:t>
                                  </w:r>
                                </w:p>
                              </w:tc>
                            </w:tr>
                            <w:tr w:rsidR="0048523C" w:rsidRPr="009A17D8" w:rsidTr="0048523C">
                              <w:trPr>
                                <w:trHeight w:val="121"/>
                                <w:jc w:val="center"/>
                              </w:trPr>
                              <w:tc>
                                <w:tcPr>
                                  <w:tcW w:w="2940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Paraguay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19.9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14.1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9.7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6.7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5.6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4.7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</w:tcPr>
                                <w:p w:rsidR="0048523C" w:rsidRPr="009A17D8" w:rsidRDefault="00055620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5.4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</w:tcPr>
                                <w:p w:rsidR="0048523C" w:rsidRPr="0048523C" w:rsidRDefault="00055620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5.4</w:t>
                                  </w:r>
                                </w:p>
                              </w:tc>
                            </w:tr>
                            <w:tr w:rsidR="0048523C" w:rsidRPr="009A17D8" w:rsidTr="0048523C">
                              <w:trPr>
                                <w:trHeight w:val="90"/>
                                <w:jc w:val="center"/>
                              </w:trPr>
                              <w:tc>
                                <w:tcPr>
                                  <w:tcW w:w="2940" w:type="dxa"/>
                                  <w:shd w:val="clear" w:color="auto" w:fill="auto"/>
                                  <w:noWrap/>
                                </w:tcPr>
                                <w:p w:rsidR="0048523C" w:rsidRPr="00055620" w:rsidRDefault="0048523C" w:rsidP="009A17D8">
                                  <w:pPr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556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México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055620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556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25.8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055620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0556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 w:rsidRPr="000556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  <w:lang w:val="es-419"/>
                                    </w:rPr>
                                    <w:t>.0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055620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556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12.3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055620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0556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Pr="000556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  <w:lang w:val="es-419"/>
                                    </w:rPr>
                                    <w:t>.0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  <w:noWrap/>
                                </w:tcPr>
                                <w:p w:rsidR="0048523C" w:rsidRPr="00055620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556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7.4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shd w:val="clear" w:color="auto" w:fill="auto"/>
                                  <w:noWrap/>
                                </w:tcPr>
                                <w:p w:rsidR="0048523C" w:rsidRPr="00055620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556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6.2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shd w:val="clear" w:color="auto" w:fill="auto"/>
                                </w:tcPr>
                                <w:p w:rsidR="0048523C" w:rsidRPr="00055620" w:rsidRDefault="00055620" w:rsidP="009A17D8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5562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6.6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</w:tcPr>
                                <w:p w:rsidR="0048523C" w:rsidRPr="00055620" w:rsidRDefault="00055620" w:rsidP="009A17D8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  <w:lang w:val="es-419"/>
                                    </w:rPr>
                                    <w:t>6.0</w:t>
                                  </w:r>
                                </w:p>
                              </w:tc>
                            </w:tr>
                            <w:tr w:rsidR="0048523C" w:rsidRPr="009A17D8" w:rsidTr="0048523C">
                              <w:trPr>
                                <w:trHeight w:val="73"/>
                                <w:jc w:val="center"/>
                              </w:trPr>
                              <w:tc>
                                <w:tcPr>
                                  <w:tcW w:w="294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Brasil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33.8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25.4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18.3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14.7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11.1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48523C" w:rsidRPr="009A17D8" w:rsidRDefault="0048523C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9.6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8523C" w:rsidRPr="009A17D8" w:rsidRDefault="00055620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8.3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8523C" w:rsidRPr="0048523C" w:rsidRDefault="00055620" w:rsidP="009A17D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8.0</w:t>
                                  </w:r>
                                </w:p>
                              </w:tc>
                            </w:tr>
                            <w:tr w:rsidR="00DF7C6E" w:rsidRPr="009A17D8" w:rsidTr="00930230">
                              <w:trPr>
                                <w:trHeight w:val="515"/>
                                <w:jc w:val="center"/>
                              </w:trPr>
                              <w:tc>
                                <w:tcPr>
                                  <w:tcW w:w="7544" w:type="dxa"/>
                                  <w:gridSpan w:val="9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</w:tcPr>
                                <w:p w:rsidR="00DF7C6E" w:rsidRPr="009A17D8" w:rsidRDefault="00DF7C6E" w:rsidP="00B1550D">
                                  <w:pPr>
                                    <w:jc w:val="both"/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 w:rsidRPr="009A17D8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 xml:space="preserve">Nota: 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d</w:t>
                                  </w:r>
                                  <w:r w:rsidRPr="009A17D8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ebido a divergencias en las fuentes de información, los datos pres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entados para México por la CEPAL</w:t>
                                  </w:r>
                                  <w:r w:rsidRPr="009A17D8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 xml:space="preserve"> no son comparables 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con los presentados por el INEGI</w:t>
                                  </w:r>
                                  <w:r w:rsidRPr="009A17D8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</w:p>
                                <w:p w:rsidR="00DF7C6E" w:rsidRPr="00E45740" w:rsidRDefault="00DF7C6E" w:rsidP="00E45740">
                                  <w:pPr>
                                    <w:ind w:right="71"/>
                                    <w:jc w:val="both"/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</w:pPr>
                                  <w:r w:rsidRPr="00E45740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Fuente</w:t>
                                  </w:r>
                                  <w:r w:rsidRPr="00E4574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s</w:t>
                                  </w:r>
                                  <w:r w:rsidRPr="00E45740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 xml:space="preserve">: 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p</w:t>
                                  </w:r>
                                  <w:r w:rsidRPr="00E4574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ara 1970, </w:t>
                                  </w:r>
                                  <w:r w:rsidRPr="00E45740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>Anuario estadístico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de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 xml:space="preserve"> América Latina y el Caribe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>1997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CEPAL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, 199</w:t>
                                  </w:r>
                                  <w:r w:rsidR="00E6069C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8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)</w:t>
                                  </w:r>
                                  <w:r w:rsidRPr="00E4574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; para 1980, 1990 y 2000, </w:t>
                                  </w:r>
                                  <w:r w:rsidRPr="00E45740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>Anuario estadístico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de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 xml:space="preserve"> América Latina y el Caribe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2001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(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CEPAL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, 2002)</w:t>
                                  </w:r>
                                  <w:r w:rsidRPr="00E4574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; para 2005 y 2010, </w:t>
                                  </w:r>
                                  <w:r w:rsidRPr="00E45740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>Anuario estadístico</w:t>
                                  </w:r>
                                  <w:r w:rsidRPr="00E4574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>de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 xml:space="preserve"> América Latina y el Caribe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2011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(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CEPAL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, 2011)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;</w:t>
                                  </w:r>
                                  <w:r w:rsidRPr="00E4574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para 2014</w:t>
                                  </w:r>
                                  <w:r w:rsidRPr="00E4574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, </w:t>
                                  </w:r>
                                  <w:r w:rsidRPr="00E45740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>Anuario estadístico</w:t>
                                  </w:r>
                                  <w:r w:rsidRPr="00E4574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>de</w:t>
                                  </w:r>
                                  <w:r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 xml:space="preserve"> América Latina y el Caribe</w:t>
                                  </w:r>
                                  <w:r w:rsidR="00A22CAA"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2015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(</w:t>
                                  </w: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CEPAL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, 2015),</w:t>
                                  </w:r>
                                  <w:r w:rsidR="0005562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y para 2016</w:t>
                                  </w:r>
                                  <w:r w:rsidR="00CC4C73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,</w:t>
                                  </w:r>
                                  <w:r w:rsidR="0005562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 w:rsidR="00055620" w:rsidRPr="00E45740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>Anuario estadístico</w:t>
                                  </w:r>
                                  <w:r w:rsidR="00055620"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de</w:t>
                                  </w:r>
                                  <w:r w:rsidR="00055620"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</w:rPr>
                                    <w:t xml:space="preserve"> América Latina y el Caribe</w:t>
                                  </w:r>
                                  <w:r w:rsidR="00055620" w:rsidRPr="00F77FA1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2017</w:t>
                                  </w:r>
                                  <w:r w:rsidR="00FF1866">
                                    <w:rPr>
                                      <w:rFonts w:cs="Arial"/>
                                      <w:i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 w:rsidR="00FF1866" w:rsidRPr="00F77FA1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(</w:t>
                                  </w:r>
                                  <w:r w:rsidR="00FF1866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CEPAL, </w:t>
                                  </w:r>
                                  <w:r w:rsidR="0005562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2017</w:t>
                                  </w:r>
                                  <w:r w:rsidRPr="00E45740">
                                    <w:rPr>
                                      <w:rFonts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).</w:t>
                                  </w:r>
                                </w:p>
                                <w:p w:rsidR="00DF7C6E" w:rsidRPr="009A17D8" w:rsidRDefault="00DF7C6E" w:rsidP="00B1550D">
                                  <w:pPr>
                                    <w:jc w:val="both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A38E4" w:rsidRDefault="004A38E4" w:rsidP="004A38E4">
                            <w:pPr>
                              <w:spacing w:before="120" w:after="60"/>
                              <w:ind w:right="108"/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DAFEDD" id="Rectángulo redondeado 1" o:spid="_x0000_s1027" style="position:absolute;margin-left:.4pt;margin-top:13.6pt;width:442.2pt;height:29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">
                <v:textbox>
                  <w:txbxContent>
                    <w:p w:rsidR="004A38E4" w:rsidRPr="00135FB9" w:rsidRDefault="004A38E4" w:rsidP="004A38E4">
                      <w:pPr>
                        <w:spacing w:after="60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  <w:r w:rsidRPr="00135FB9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tbl>
                      <w:tblPr>
                        <w:tblW w:w="8036" w:type="dxa"/>
                        <w:jc w:val="center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92"/>
                        <w:gridCol w:w="2450"/>
                        <w:gridCol w:w="1843"/>
                        <w:gridCol w:w="2551"/>
                      </w:tblGrid>
                      <w:tr w:rsidR="004A38E4" w:rsidRPr="00645389" w:rsidTr="008D3CB6">
                        <w:trPr>
                          <w:trHeight w:val="45"/>
                          <w:jc w:val="center"/>
                        </w:trPr>
                        <w:tc>
                          <w:tcPr>
                            <w:tcW w:w="8036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4337E1" w:rsidRDefault="004A38E4" w:rsidP="00645389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bookmarkStart w:id="2" w:name="_Hlk277097957"/>
                            <w:r w:rsidRPr="004337E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Porcentaje de población analfa</w:t>
                            </w:r>
                            <w:r w:rsidR="00A22CAA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beta de 15 años o más (1895-2015</w:t>
                            </w:r>
                            <w:r w:rsidRPr="004337E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</w:tr>
                      <w:tr w:rsidR="004A38E4" w:rsidRPr="00645389" w:rsidTr="008D3CB6">
                        <w:trPr>
                          <w:trHeight w:val="20"/>
                          <w:jc w:val="center"/>
                        </w:trPr>
                        <w:tc>
                          <w:tcPr>
                            <w:tcW w:w="1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645389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Año</w:t>
                            </w:r>
                          </w:p>
                        </w:tc>
                        <w:tc>
                          <w:tcPr>
                            <w:tcW w:w="245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645389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Analfabetismo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645389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Año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645389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Analfabetismo</w:t>
                            </w:r>
                          </w:p>
                        </w:tc>
                      </w:tr>
                      <w:tr w:rsidR="004A38E4" w:rsidRPr="00645389" w:rsidTr="00E45740">
                        <w:trPr>
                          <w:trHeight w:val="20"/>
                          <w:jc w:val="center"/>
                        </w:trPr>
                        <w:tc>
                          <w:tcPr>
                            <w:tcW w:w="1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1895</w:t>
                            </w:r>
                          </w:p>
                        </w:tc>
                        <w:tc>
                          <w:tcPr>
                            <w:tcW w:w="24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82.1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1970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D01BB7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3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7</w:t>
                            </w:r>
                          </w:p>
                        </w:tc>
                      </w:tr>
                      <w:tr w:rsidR="004A38E4" w:rsidRPr="00645389" w:rsidTr="00E45740">
                        <w:trPr>
                          <w:trHeight w:val="20"/>
                          <w:jc w:val="center"/>
                        </w:trPr>
                        <w:tc>
                          <w:tcPr>
                            <w:tcW w:w="1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1900</w:t>
                            </w:r>
                          </w:p>
                        </w:tc>
                        <w:tc>
                          <w:tcPr>
                            <w:tcW w:w="24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77.7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1980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17.0</w:t>
                            </w:r>
                          </w:p>
                        </w:tc>
                      </w:tr>
                      <w:tr w:rsidR="004A38E4" w:rsidRPr="00645389" w:rsidTr="00E45740">
                        <w:trPr>
                          <w:trHeight w:val="20"/>
                          <w:jc w:val="center"/>
                        </w:trPr>
                        <w:tc>
                          <w:tcPr>
                            <w:tcW w:w="1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1910</w:t>
                            </w:r>
                          </w:p>
                        </w:tc>
                        <w:tc>
                          <w:tcPr>
                            <w:tcW w:w="24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72.3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1990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12.4</w:t>
                            </w:r>
                          </w:p>
                        </w:tc>
                      </w:tr>
                      <w:tr w:rsidR="004A38E4" w:rsidRPr="00645389" w:rsidTr="00E45740">
                        <w:trPr>
                          <w:trHeight w:val="20"/>
                          <w:jc w:val="center"/>
                        </w:trPr>
                        <w:tc>
                          <w:tcPr>
                            <w:tcW w:w="1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1921</w:t>
                            </w:r>
                          </w:p>
                        </w:tc>
                        <w:tc>
                          <w:tcPr>
                            <w:tcW w:w="24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66.2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9.5</w:t>
                            </w:r>
                          </w:p>
                        </w:tc>
                      </w:tr>
                      <w:tr w:rsidR="004A38E4" w:rsidRPr="00645389" w:rsidTr="00E45740">
                        <w:trPr>
                          <w:trHeight w:val="20"/>
                          <w:jc w:val="center"/>
                        </w:trPr>
                        <w:tc>
                          <w:tcPr>
                            <w:tcW w:w="1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1930</w:t>
                            </w:r>
                          </w:p>
                        </w:tc>
                        <w:tc>
                          <w:tcPr>
                            <w:tcW w:w="24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61.5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8.4</w:t>
                            </w:r>
                          </w:p>
                        </w:tc>
                      </w:tr>
                      <w:tr w:rsidR="004A38E4" w:rsidRPr="00645389" w:rsidTr="00E45740">
                        <w:trPr>
                          <w:trHeight w:val="20"/>
                          <w:jc w:val="center"/>
                        </w:trPr>
                        <w:tc>
                          <w:tcPr>
                            <w:tcW w:w="1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1940</w:t>
                            </w:r>
                          </w:p>
                        </w:tc>
                        <w:tc>
                          <w:tcPr>
                            <w:tcW w:w="24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58.2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DB643A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6.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9</w:t>
                            </w:r>
                          </w:p>
                        </w:tc>
                      </w:tr>
                      <w:tr w:rsidR="004A38E4" w:rsidRPr="00645389" w:rsidTr="00E45740">
                        <w:trPr>
                          <w:trHeight w:val="20"/>
                          <w:jc w:val="center"/>
                        </w:trPr>
                        <w:tc>
                          <w:tcPr>
                            <w:tcW w:w="1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1950</w:t>
                            </w:r>
                          </w:p>
                        </w:tc>
                        <w:tc>
                          <w:tcPr>
                            <w:tcW w:w="24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45389">
                              <w:rPr>
                                <w:rFonts w:cs="Arial"/>
                                <w:sz w:val="16"/>
                                <w:szCs w:val="16"/>
                              </w:rPr>
                              <w:t>43.2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3116A3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2015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DB643A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5.5</w:t>
                            </w:r>
                          </w:p>
                        </w:tc>
                      </w:tr>
                      <w:tr w:rsidR="004A38E4" w:rsidRPr="00645389" w:rsidTr="00E45740">
                        <w:trPr>
                          <w:trHeight w:val="20"/>
                          <w:jc w:val="center"/>
                        </w:trPr>
                        <w:tc>
                          <w:tcPr>
                            <w:tcW w:w="1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3116A3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1960</w:t>
                            </w:r>
                          </w:p>
                        </w:tc>
                        <w:tc>
                          <w:tcPr>
                            <w:tcW w:w="24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645389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3116A3">
                              <w:rPr>
                                <w:rFonts w:cs="Arial"/>
                                <w:sz w:val="16"/>
                                <w:szCs w:val="16"/>
                              </w:rPr>
                              <w:t>33.5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Pr="003116A3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4A38E4" w:rsidRDefault="004A38E4" w:rsidP="003116A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38E4" w:rsidRPr="00645389" w:rsidTr="00E45740">
                        <w:trPr>
                          <w:trHeight w:val="20"/>
                          <w:jc w:val="center"/>
                        </w:trPr>
                        <w:tc>
                          <w:tcPr>
                            <w:tcW w:w="8036" w:type="dxa"/>
                            <w:gridSpan w:val="4"/>
                            <w:tcBorders>
                              <w:top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4A38E4" w:rsidRPr="00797F05" w:rsidRDefault="004A38E4" w:rsidP="003116A3">
                            <w:pPr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</w:pPr>
                            <w:r w:rsidRPr="00244A3A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Notas: 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</w:rPr>
                              <w:t>e</w:t>
                            </w:r>
                            <w:r w:rsidRPr="00244A3A">
                              <w:rPr>
                                <w:rFonts w:cs="Arial"/>
                                <w:sz w:val="12"/>
                                <w:szCs w:val="12"/>
                              </w:rPr>
                              <w:t>n los años 1895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, 1940 y 1950 </w:t>
                            </w:r>
                            <w:r w:rsidRPr="00244A3A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la medida de analfabetismo comprende a la población de 6 años o más que no sabe leer ni escribir.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En los años 1900, 1910, 1921, 1930 1960 y 1970 la medida de analfabetismo comprende a la población de 10 años y más que no sabe leer ni escribir.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De 19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8</w:t>
                            </w:r>
                            <w:r w:rsidRPr="00244A3A">
                              <w:rPr>
                                <w:rFonts w:cs="Arial"/>
                                <w:sz w:val="12"/>
                                <w:szCs w:val="12"/>
                              </w:rPr>
                              <w:t>0</w:t>
                            </w:r>
                            <w:r w:rsidR="009769D1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a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2016</w:t>
                            </w:r>
                            <w:r w:rsidRPr="00244A3A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el analfabetismo se compone con la población de 15 años o más que no sabe leer ni escribir. </w:t>
                            </w:r>
                          </w:p>
                          <w:p w:rsidR="004A38E4" w:rsidRPr="00645389" w:rsidRDefault="004A38E4" w:rsidP="003116A3">
                            <w:pPr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Fuente</w:t>
                            </w:r>
                            <w:r w:rsidR="00CC4C73">
                              <w:rPr>
                                <w:rFonts w:cs="Arial"/>
                                <w:sz w:val="12"/>
                                <w:szCs w:val="12"/>
                              </w:rPr>
                              <w:t>s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>Estadísticas Históricas de México 20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>14</w:t>
                            </w:r>
                            <w:r w:rsidR="00CC4C73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 xml:space="preserve">: 3 Educación </w:t>
                            </w:r>
                            <w:r w:rsidRPr="001502FB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(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INEGI, </w:t>
                            </w:r>
                            <w:r w:rsidRPr="001502FB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2015</w:t>
                            </w:r>
                            <w:r w:rsidR="00CC4C73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a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,</w:t>
                            </w:r>
                            <w:r w:rsidRPr="001502FB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pp. 24-63)</w:t>
                            </w:r>
                            <w:r w:rsidRPr="001502F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 w:rsidR="00CC4C73"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 xml:space="preserve">Principales resultados de la 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>Encuesta Intercensal</w:t>
                            </w:r>
                            <w:r w:rsidR="00CC4C73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 xml:space="preserve"> 2015</w:t>
                            </w:r>
                            <w:r w:rsidRPr="001502FB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(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INEGI,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2015)</w:t>
                            </w:r>
                            <w:r w:rsidRPr="001502FB"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c>
                      </w:tr>
                      <w:bookmarkEnd w:id="2"/>
                    </w:tbl>
                    <w:p w:rsidR="004A38E4" w:rsidRDefault="004A38E4" w:rsidP="004A38E4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7544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2940"/>
                        <w:gridCol w:w="572"/>
                        <w:gridCol w:w="572"/>
                        <w:gridCol w:w="572"/>
                        <w:gridCol w:w="572"/>
                        <w:gridCol w:w="572"/>
                        <w:gridCol w:w="600"/>
                        <w:gridCol w:w="572"/>
                        <w:gridCol w:w="572"/>
                      </w:tblGrid>
                      <w:tr w:rsidR="0048523C" w:rsidRPr="009A17D8" w:rsidTr="0048523C">
                        <w:trPr>
                          <w:trHeight w:val="66"/>
                          <w:jc w:val="center"/>
                        </w:trPr>
                        <w:tc>
                          <w:tcPr>
                            <w:tcW w:w="6400" w:type="dxa"/>
                            <w:gridSpan w:val="7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noWrap/>
                          </w:tcPr>
                          <w:p w:rsidR="0048523C" w:rsidRPr="009A17D8" w:rsidRDefault="0048523C" w:rsidP="00563145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Porcentaje de población analfa</w:t>
                            </w:r>
                            <w:r w:rsidR="00A22CAA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beta de 15 años o más (1970-2014</w:t>
                            </w:r>
                            <w:r w:rsidRPr="009A17D8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48523C" w:rsidRPr="009A17D8" w:rsidRDefault="0048523C" w:rsidP="00563145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48523C" w:rsidRPr="009A17D8" w:rsidRDefault="0048523C" w:rsidP="00563145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523C" w:rsidRPr="009A17D8" w:rsidTr="0048523C">
                        <w:trPr>
                          <w:trHeight w:val="174"/>
                          <w:jc w:val="center"/>
                        </w:trPr>
                        <w:tc>
                          <w:tcPr>
                            <w:tcW w:w="2940" w:type="dxa"/>
                            <w:tcBorders>
                              <w:top w:val="single" w:sz="4" w:space="0" w:color="auto"/>
                            </w:tcBorders>
                            <w:noWrap/>
                          </w:tcPr>
                          <w:p w:rsidR="0048523C" w:rsidRPr="009A17D8" w:rsidRDefault="0048523C" w:rsidP="004337E1">
                            <w:pPr>
                              <w:ind w:firstLineChars="100" w:firstLine="160"/>
                              <w:jc w:val="center"/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Países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B94D8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1970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B94D8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1980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B94D8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1990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B94D8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B94D8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B94D8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2010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48523C" w:rsidRPr="009A17D8" w:rsidRDefault="00055620" w:rsidP="00B94D8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auto"/>
                            </w:tcBorders>
                          </w:tcPr>
                          <w:p w:rsidR="0048523C" w:rsidRPr="009A17D8" w:rsidRDefault="00055620" w:rsidP="00B94D8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2016</w:t>
                            </w:r>
                          </w:p>
                        </w:tc>
                      </w:tr>
                      <w:tr w:rsidR="0048523C" w:rsidRPr="009A17D8" w:rsidTr="0048523C">
                        <w:trPr>
                          <w:trHeight w:val="126"/>
                          <w:jc w:val="center"/>
                        </w:trPr>
                        <w:tc>
                          <w:tcPr>
                            <w:tcW w:w="2940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Argentina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7.4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6.0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4.2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3.1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2.8</w:t>
                            </w:r>
                          </w:p>
                        </w:tc>
                        <w:tc>
                          <w:tcPr>
                            <w:tcW w:w="600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0.9</w:t>
                            </w:r>
                          </w:p>
                        </w:tc>
                        <w:tc>
                          <w:tcPr>
                            <w:tcW w:w="572" w:type="dxa"/>
                          </w:tcPr>
                          <w:p w:rsidR="0048523C" w:rsidRPr="009A17D8" w:rsidRDefault="00055620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1.0</w:t>
                            </w:r>
                          </w:p>
                        </w:tc>
                      </w:tr>
                      <w:tr w:rsidR="0048523C" w:rsidRPr="009A17D8" w:rsidTr="0048523C">
                        <w:trPr>
                          <w:trHeight w:val="110"/>
                          <w:jc w:val="center"/>
                        </w:trPr>
                        <w:tc>
                          <w:tcPr>
                            <w:tcW w:w="2940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Chile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11.0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8.5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6.0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4.3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3.5</w:t>
                            </w:r>
                          </w:p>
                        </w:tc>
                        <w:tc>
                          <w:tcPr>
                            <w:tcW w:w="600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2.9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</w:tcPr>
                          <w:p w:rsidR="0048523C" w:rsidRPr="009A17D8" w:rsidRDefault="00055620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3.7</w:t>
                            </w:r>
                          </w:p>
                        </w:tc>
                        <w:tc>
                          <w:tcPr>
                            <w:tcW w:w="572" w:type="dxa"/>
                          </w:tcPr>
                          <w:p w:rsidR="0048523C" w:rsidRPr="009A17D8" w:rsidRDefault="00055620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3.1</w:t>
                            </w:r>
                          </w:p>
                        </w:tc>
                      </w:tr>
                      <w:tr w:rsidR="0048523C" w:rsidRPr="009A17D8" w:rsidTr="0048523C">
                        <w:trPr>
                          <w:trHeight w:val="186"/>
                          <w:jc w:val="center"/>
                        </w:trPr>
                        <w:tc>
                          <w:tcPr>
                            <w:tcW w:w="2940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Venezuela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23.5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15.1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9.9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.0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.0</w:t>
                            </w:r>
                          </w:p>
                        </w:tc>
                        <w:tc>
                          <w:tcPr>
                            <w:tcW w:w="600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4.8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3.9</w:t>
                            </w:r>
                          </w:p>
                        </w:tc>
                        <w:tc>
                          <w:tcPr>
                            <w:tcW w:w="572" w:type="dxa"/>
                          </w:tcPr>
                          <w:p w:rsidR="0048523C" w:rsidRPr="0048523C" w:rsidRDefault="00055620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3.7</w:t>
                            </w:r>
                          </w:p>
                        </w:tc>
                      </w:tr>
                      <w:tr w:rsidR="0048523C" w:rsidRPr="009A17D8" w:rsidTr="0048523C">
                        <w:trPr>
                          <w:trHeight w:val="121"/>
                          <w:jc w:val="center"/>
                        </w:trPr>
                        <w:tc>
                          <w:tcPr>
                            <w:tcW w:w="2940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Paraguay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19.9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14.1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9.7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6.7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5.6</w:t>
                            </w:r>
                          </w:p>
                        </w:tc>
                        <w:tc>
                          <w:tcPr>
                            <w:tcW w:w="600" w:type="dxa"/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4.7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</w:tcPr>
                          <w:p w:rsidR="0048523C" w:rsidRPr="009A17D8" w:rsidRDefault="00055620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5.4</w:t>
                            </w:r>
                          </w:p>
                        </w:tc>
                        <w:tc>
                          <w:tcPr>
                            <w:tcW w:w="572" w:type="dxa"/>
                          </w:tcPr>
                          <w:p w:rsidR="0048523C" w:rsidRPr="0048523C" w:rsidRDefault="00055620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5.4</w:t>
                            </w:r>
                          </w:p>
                        </w:tc>
                      </w:tr>
                      <w:tr w:rsidR="0048523C" w:rsidRPr="009A17D8" w:rsidTr="0048523C">
                        <w:trPr>
                          <w:trHeight w:val="90"/>
                          <w:jc w:val="center"/>
                        </w:trPr>
                        <w:tc>
                          <w:tcPr>
                            <w:tcW w:w="2940" w:type="dxa"/>
                            <w:shd w:val="clear" w:color="auto" w:fill="auto"/>
                            <w:noWrap/>
                          </w:tcPr>
                          <w:p w:rsidR="0048523C" w:rsidRPr="00055620" w:rsidRDefault="0048523C" w:rsidP="009A17D8">
                            <w:pP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05562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México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055620" w:rsidRDefault="0048523C" w:rsidP="009A17D8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05562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25.8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055620" w:rsidRDefault="0048523C" w:rsidP="009A17D8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05562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17</w:t>
                            </w:r>
                            <w:r w:rsidRPr="00055620">
                              <w:rPr>
                                <w:rFonts w:cs="Arial"/>
                                <w:b/>
                                <w:sz w:val="16"/>
                                <w:szCs w:val="16"/>
                                <w:lang w:val="es-419"/>
                              </w:rPr>
                              <w:t>.0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055620" w:rsidRDefault="0048523C" w:rsidP="009A17D8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05562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12.3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055620" w:rsidRDefault="0048523C" w:rsidP="009A17D8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05562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9</w:t>
                            </w:r>
                            <w:r w:rsidRPr="00055620">
                              <w:rPr>
                                <w:rFonts w:cs="Arial"/>
                                <w:b/>
                                <w:sz w:val="16"/>
                                <w:szCs w:val="16"/>
                                <w:lang w:val="es-419"/>
                              </w:rPr>
                              <w:t>.0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  <w:noWrap/>
                          </w:tcPr>
                          <w:p w:rsidR="0048523C" w:rsidRPr="00055620" w:rsidRDefault="0048523C" w:rsidP="009A17D8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05562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7.4</w:t>
                            </w:r>
                          </w:p>
                        </w:tc>
                        <w:tc>
                          <w:tcPr>
                            <w:tcW w:w="600" w:type="dxa"/>
                            <w:shd w:val="clear" w:color="auto" w:fill="auto"/>
                            <w:noWrap/>
                          </w:tcPr>
                          <w:p w:rsidR="0048523C" w:rsidRPr="00055620" w:rsidRDefault="0048523C" w:rsidP="009A17D8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05562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6.2</w:t>
                            </w:r>
                          </w:p>
                        </w:tc>
                        <w:tc>
                          <w:tcPr>
                            <w:tcW w:w="572" w:type="dxa"/>
                            <w:shd w:val="clear" w:color="auto" w:fill="auto"/>
                          </w:tcPr>
                          <w:p w:rsidR="0048523C" w:rsidRPr="00055620" w:rsidRDefault="00055620" w:rsidP="009A17D8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05562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6.6</w:t>
                            </w:r>
                          </w:p>
                        </w:tc>
                        <w:tc>
                          <w:tcPr>
                            <w:tcW w:w="572" w:type="dxa"/>
                          </w:tcPr>
                          <w:p w:rsidR="0048523C" w:rsidRPr="00055620" w:rsidRDefault="00055620" w:rsidP="009A17D8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  <w:lang w:val="es-419"/>
                              </w:rPr>
                              <w:t>6.0</w:t>
                            </w:r>
                          </w:p>
                        </w:tc>
                      </w:tr>
                      <w:tr w:rsidR="0048523C" w:rsidRPr="009A17D8" w:rsidTr="0048523C">
                        <w:trPr>
                          <w:trHeight w:val="73"/>
                          <w:jc w:val="center"/>
                        </w:trPr>
                        <w:tc>
                          <w:tcPr>
                            <w:tcW w:w="2940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Brasil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33.8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25.4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18.3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14.7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11.1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48523C" w:rsidRPr="009A17D8" w:rsidRDefault="0048523C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A17D8">
                              <w:rPr>
                                <w:rFonts w:cs="Arial"/>
                                <w:sz w:val="16"/>
                                <w:szCs w:val="16"/>
                              </w:rPr>
                              <w:t>9.6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48523C" w:rsidRPr="009A17D8" w:rsidRDefault="00055620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8.3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bottom w:val="single" w:sz="4" w:space="0" w:color="auto"/>
                            </w:tcBorders>
                          </w:tcPr>
                          <w:p w:rsidR="0048523C" w:rsidRPr="0048523C" w:rsidRDefault="00055620" w:rsidP="009A17D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es-419"/>
                              </w:rPr>
                              <w:t>8.0</w:t>
                            </w:r>
                          </w:p>
                        </w:tc>
                      </w:tr>
                      <w:tr w:rsidR="00DF7C6E" w:rsidRPr="009A17D8" w:rsidTr="00930230">
                        <w:trPr>
                          <w:trHeight w:val="515"/>
                          <w:jc w:val="center"/>
                        </w:trPr>
                        <w:tc>
                          <w:tcPr>
                            <w:tcW w:w="7544" w:type="dxa"/>
                            <w:gridSpan w:val="9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noWrap/>
                          </w:tcPr>
                          <w:p w:rsidR="00DF7C6E" w:rsidRPr="009A17D8" w:rsidRDefault="00DF7C6E" w:rsidP="00B1550D">
                            <w:pPr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9A17D8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Nota: 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</w:rPr>
                              <w:t>d</w:t>
                            </w:r>
                            <w:r w:rsidRPr="009A17D8">
                              <w:rPr>
                                <w:rFonts w:cs="Arial"/>
                                <w:sz w:val="12"/>
                                <w:szCs w:val="12"/>
                              </w:rPr>
                              <w:t>ebido a divergencias en las fuentes de información, los datos pres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entados para México por la CEPAL</w:t>
                            </w:r>
                            <w:r w:rsidRPr="009A17D8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no son comparables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con los presentados por el INEGI</w:t>
                            </w:r>
                            <w:r w:rsidRPr="009A17D8"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:rsidR="00DF7C6E" w:rsidRPr="00E45740" w:rsidRDefault="00DF7C6E" w:rsidP="00E45740">
                            <w:pPr>
                              <w:ind w:right="71"/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</w:pPr>
                            <w:r w:rsidRPr="00E45740">
                              <w:rPr>
                                <w:rFonts w:cs="Arial"/>
                                <w:sz w:val="12"/>
                                <w:szCs w:val="12"/>
                              </w:rPr>
                              <w:t>Fuente</w:t>
                            </w:r>
                            <w:r w:rsidRPr="00E4574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s</w:t>
                            </w:r>
                            <w:r w:rsidRPr="00E4574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p</w:t>
                            </w:r>
                            <w:r w:rsidRPr="00E4574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ara 1970, </w:t>
                            </w:r>
                            <w:r w:rsidRPr="00E45740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>Anuario estadístico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 xml:space="preserve"> de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 xml:space="preserve"> América Latina y el Caribe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>1997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(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CEPAL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, 199</w:t>
                            </w:r>
                            <w:r w:rsidR="00E6069C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8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)</w:t>
                            </w:r>
                            <w:r w:rsidRPr="00E4574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; para 1980, 1990 y 2000, </w:t>
                            </w:r>
                            <w:r w:rsidRPr="00E45740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>Anuario estadístico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 xml:space="preserve"> de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 xml:space="preserve"> América Latina y el Caribe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 xml:space="preserve"> 2001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(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CEPAL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, 2002)</w:t>
                            </w:r>
                            <w:r w:rsidRPr="00E4574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; para 2005 y 2010, </w:t>
                            </w:r>
                            <w:r w:rsidRPr="00E45740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>Anuario estadístico</w:t>
                            </w:r>
                            <w:r w:rsidRPr="00E4574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>de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 xml:space="preserve"> América Latina y el Caribe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 xml:space="preserve"> 2011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(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CEPAL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, 2011)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;</w:t>
                            </w:r>
                            <w:r w:rsidRPr="00E4574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para 2014</w:t>
                            </w:r>
                            <w:r w:rsidRPr="00E4574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, </w:t>
                            </w:r>
                            <w:r w:rsidRPr="00E45740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>Anuario estadístico</w:t>
                            </w:r>
                            <w:r w:rsidRPr="00E4574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>de</w:t>
                            </w:r>
                            <w:r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 xml:space="preserve"> América Latina y el Caribe</w:t>
                            </w:r>
                            <w:r w:rsidR="00A22CAA"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 xml:space="preserve"> 2015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(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CEPAL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, 2015),</w:t>
                            </w:r>
                            <w:r w:rsidR="0005562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y para 2016</w:t>
                            </w:r>
                            <w:r w:rsidR="00CC4C73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,</w:t>
                            </w:r>
                            <w:r w:rsidR="0005562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 w:rsidR="00055620" w:rsidRPr="00E45740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>Anuario estadístico</w:t>
                            </w:r>
                            <w:r w:rsidR="00055620"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 xml:space="preserve"> de</w:t>
                            </w:r>
                            <w:r w:rsidR="00055620"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 xml:space="preserve"> América Latina y el Caribe</w:t>
                            </w:r>
                            <w:r w:rsidR="00055620" w:rsidRPr="00F77FA1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 xml:space="preserve"> 2017</w:t>
                            </w:r>
                            <w:r w:rsidR="00FF1866">
                              <w:rPr>
                                <w:rFonts w:cs="Arial"/>
                                <w:i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 w:rsidR="00FF1866" w:rsidRPr="00F77FA1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(</w:t>
                            </w:r>
                            <w:r w:rsidR="00FF1866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 xml:space="preserve">CEPAL, </w:t>
                            </w:r>
                            <w:r w:rsidR="0005562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2017</w:t>
                            </w:r>
                            <w:r w:rsidRPr="00E45740">
                              <w:rPr>
                                <w:rFonts w:cs="Arial"/>
                                <w:sz w:val="12"/>
                                <w:szCs w:val="12"/>
                                <w:lang w:val="es-419"/>
                              </w:rPr>
                              <w:t>).</w:t>
                            </w:r>
                          </w:p>
                          <w:p w:rsidR="00DF7C6E" w:rsidRPr="009A17D8" w:rsidRDefault="00DF7C6E" w:rsidP="00B1550D">
                            <w:pPr>
                              <w:jc w:val="both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4A38E4" w:rsidRDefault="004A38E4" w:rsidP="004A38E4">
                      <w:pPr>
                        <w:spacing w:before="120" w:after="60"/>
                        <w:ind w:right="108"/>
                        <w:jc w:val="both"/>
                        <w:rPr>
                          <w:rFonts w:cs="Arial"/>
                          <w:sz w:val="12"/>
                          <w:szCs w:val="1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A638D" w:rsidRDefault="000E0729"/>
    <w:sectPr w:rsidR="00DA638D" w:rsidSect="007B5909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729" w:rsidRDefault="000E0729" w:rsidP="004F6ED8">
      <w:r>
        <w:separator/>
      </w:r>
    </w:p>
  </w:endnote>
  <w:endnote w:type="continuationSeparator" w:id="0">
    <w:p w:rsidR="000E0729" w:rsidRDefault="000E0729" w:rsidP="004F6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729" w:rsidRDefault="000E0729" w:rsidP="004F6ED8">
      <w:r>
        <w:separator/>
      </w:r>
    </w:p>
  </w:footnote>
  <w:footnote w:type="continuationSeparator" w:id="0">
    <w:p w:rsidR="000E0729" w:rsidRDefault="000E0729" w:rsidP="004F6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79319A"/>
    <w:multiLevelType w:val="hybridMultilevel"/>
    <w:tmpl w:val="5F92D7E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79E"/>
    <w:rsid w:val="00047170"/>
    <w:rsid w:val="00051B67"/>
    <w:rsid w:val="00055620"/>
    <w:rsid w:val="00066E8C"/>
    <w:rsid w:val="00090459"/>
    <w:rsid w:val="000A2A00"/>
    <w:rsid w:val="000B5557"/>
    <w:rsid w:val="000C2973"/>
    <w:rsid w:val="000D0291"/>
    <w:rsid w:val="000E0729"/>
    <w:rsid w:val="000F5D59"/>
    <w:rsid w:val="00107794"/>
    <w:rsid w:val="00110AEF"/>
    <w:rsid w:val="00116AD9"/>
    <w:rsid w:val="00136346"/>
    <w:rsid w:val="001502FB"/>
    <w:rsid w:val="001505B1"/>
    <w:rsid w:val="00155D7A"/>
    <w:rsid w:val="00173815"/>
    <w:rsid w:val="00197195"/>
    <w:rsid w:val="001C498D"/>
    <w:rsid w:val="001C5EC2"/>
    <w:rsid w:val="001E203B"/>
    <w:rsid w:val="001E61E2"/>
    <w:rsid w:val="001F690F"/>
    <w:rsid w:val="002103B0"/>
    <w:rsid w:val="00257C31"/>
    <w:rsid w:val="002608AA"/>
    <w:rsid w:val="0026374F"/>
    <w:rsid w:val="00276988"/>
    <w:rsid w:val="00297093"/>
    <w:rsid w:val="002B068B"/>
    <w:rsid w:val="002B38F9"/>
    <w:rsid w:val="002E719C"/>
    <w:rsid w:val="00303713"/>
    <w:rsid w:val="003039A1"/>
    <w:rsid w:val="00307E1B"/>
    <w:rsid w:val="003116A3"/>
    <w:rsid w:val="00327465"/>
    <w:rsid w:val="00331504"/>
    <w:rsid w:val="00371D09"/>
    <w:rsid w:val="00385986"/>
    <w:rsid w:val="00385E2D"/>
    <w:rsid w:val="003C26AF"/>
    <w:rsid w:val="003D37D1"/>
    <w:rsid w:val="00401B5C"/>
    <w:rsid w:val="00423AFF"/>
    <w:rsid w:val="004420F9"/>
    <w:rsid w:val="00442932"/>
    <w:rsid w:val="0045691F"/>
    <w:rsid w:val="004670D8"/>
    <w:rsid w:val="00472BED"/>
    <w:rsid w:val="0048523C"/>
    <w:rsid w:val="004941B8"/>
    <w:rsid w:val="004A38E4"/>
    <w:rsid w:val="004B2910"/>
    <w:rsid w:val="004B4285"/>
    <w:rsid w:val="004B658D"/>
    <w:rsid w:val="004D036A"/>
    <w:rsid w:val="004D1176"/>
    <w:rsid w:val="004D2E14"/>
    <w:rsid w:val="004D3057"/>
    <w:rsid w:val="004E0B19"/>
    <w:rsid w:val="004F54D2"/>
    <w:rsid w:val="004F6ED8"/>
    <w:rsid w:val="0050458C"/>
    <w:rsid w:val="00525F6D"/>
    <w:rsid w:val="005326AA"/>
    <w:rsid w:val="00542AAB"/>
    <w:rsid w:val="00556718"/>
    <w:rsid w:val="00561596"/>
    <w:rsid w:val="0056201B"/>
    <w:rsid w:val="00563145"/>
    <w:rsid w:val="005751CF"/>
    <w:rsid w:val="00577EA6"/>
    <w:rsid w:val="0059048E"/>
    <w:rsid w:val="005A590C"/>
    <w:rsid w:val="005F11AC"/>
    <w:rsid w:val="006405F3"/>
    <w:rsid w:val="00652AA9"/>
    <w:rsid w:val="00657809"/>
    <w:rsid w:val="006614B6"/>
    <w:rsid w:val="0066782A"/>
    <w:rsid w:val="00681BF1"/>
    <w:rsid w:val="006822EA"/>
    <w:rsid w:val="0068690B"/>
    <w:rsid w:val="00687F50"/>
    <w:rsid w:val="006A4457"/>
    <w:rsid w:val="006A592E"/>
    <w:rsid w:val="006C1EB9"/>
    <w:rsid w:val="006D36D4"/>
    <w:rsid w:val="006D6966"/>
    <w:rsid w:val="006E3499"/>
    <w:rsid w:val="006E51E6"/>
    <w:rsid w:val="006F2912"/>
    <w:rsid w:val="006F7844"/>
    <w:rsid w:val="00715D9D"/>
    <w:rsid w:val="00734EA4"/>
    <w:rsid w:val="007504AE"/>
    <w:rsid w:val="00757FAA"/>
    <w:rsid w:val="00764D33"/>
    <w:rsid w:val="00797F05"/>
    <w:rsid w:val="007A6F4D"/>
    <w:rsid w:val="007C30F1"/>
    <w:rsid w:val="007F68A8"/>
    <w:rsid w:val="0081295B"/>
    <w:rsid w:val="00812C1D"/>
    <w:rsid w:val="00823760"/>
    <w:rsid w:val="00843A77"/>
    <w:rsid w:val="00864B60"/>
    <w:rsid w:val="00881E77"/>
    <w:rsid w:val="00895142"/>
    <w:rsid w:val="008B179E"/>
    <w:rsid w:val="008D3CB6"/>
    <w:rsid w:val="008D6A6B"/>
    <w:rsid w:val="008F1B2E"/>
    <w:rsid w:val="009243FA"/>
    <w:rsid w:val="00940E7A"/>
    <w:rsid w:val="00945F32"/>
    <w:rsid w:val="00953DBB"/>
    <w:rsid w:val="00960A63"/>
    <w:rsid w:val="009664E1"/>
    <w:rsid w:val="009769D1"/>
    <w:rsid w:val="0099453E"/>
    <w:rsid w:val="009A1550"/>
    <w:rsid w:val="009A17D8"/>
    <w:rsid w:val="009F190F"/>
    <w:rsid w:val="00A22CAA"/>
    <w:rsid w:val="00A36CD9"/>
    <w:rsid w:val="00A55603"/>
    <w:rsid w:val="00A60089"/>
    <w:rsid w:val="00A66023"/>
    <w:rsid w:val="00A71C31"/>
    <w:rsid w:val="00A81728"/>
    <w:rsid w:val="00AB4046"/>
    <w:rsid w:val="00AC7798"/>
    <w:rsid w:val="00AE66B8"/>
    <w:rsid w:val="00AF02E2"/>
    <w:rsid w:val="00B24648"/>
    <w:rsid w:val="00B246FA"/>
    <w:rsid w:val="00B458B3"/>
    <w:rsid w:val="00B5242A"/>
    <w:rsid w:val="00B77075"/>
    <w:rsid w:val="00B82392"/>
    <w:rsid w:val="00B94D89"/>
    <w:rsid w:val="00BB42F5"/>
    <w:rsid w:val="00BD11A3"/>
    <w:rsid w:val="00BF7059"/>
    <w:rsid w:val="00C10729"/>
    <w:rsid w:val="00C1306F"/>
    <w:rsid w:val="00C15176"/>
    <w:rsid w:val="00C22EA5"/>
    <w:rsid w:val="00C25198"/>
    <w:rsid w:val="00C371F6"/>
    <w:rsid w:val="00C56DE8"/>
    <w:rsid w:val="00C66A5B"/>
    <w:rsid w:val="00C75043"/>
    <w:rsid w:val="00C75782"/>
    <w:rsid w:val="00C86827"/>
    <w:rsid w:val="00CC2C06"/>
    <w:rsid w:val="00CC4C73"/>
    <w:rsid w:val="00CE441E"/>
    <w:rsid w:val="00CF4AA1"/>
    <w:rsid w:val="00D01BB7"/>
    <w:rsid w:val="00D22029"/>
    <w:rsid w:val="00D37043"/>
    <w:rsid w:val="00D47135"/>
    <w:rsid w:val="00D67DBC"/>
    <w:rsid w:val="00D94C8E"/>
    <w:rsid w:val="00DB36B0"/>
    <w:rsid w:val="00DB643A"/>
    <w:rsid w:val="00DC4867"/>
    <w:rsid w:val="00DD6FEB"/>
    <w:rsid w:val="00DF2712"/>
    <w:rsid w:val="00DF7C6E"/>
    <w:rsid w:val="00E01C3F"/>
    <w:rsid w:val="00E30D1A"/>
    <w:rsid w:val="00E33BFF"/>
    <w:rsid w:val="00E41132"/>
    <w:rsid w:val="00E45740"/>
    <w:rsid w:val="00E6069C"/>
    <w:rsid w:val="00E76F2B"/>
    <w:rsid w:val="00E80362"/>
    <w:rsid w:val="00E968C0"/>
    <w:rsid w:val="00EA6A91"/>
    <w:rsid w:val="00ED195E"/>
    <w:rsid w:val="00F06E0C"/>
    <w:rsid w:val="00F171D5"/>
    <w:rsid w:val="00F32DCF"/>
    <w:rsid w:val="00F36559"/>
    <w:rsid w:val="00F560DF"/>
    <w:rsid w:val="00F609F2"/>
    <w:rsid w:val="00F77FA1"/>
    <w:rsid w:val="00F813E7"/>
    <w:rsid w:val="00FA0B6E"/>
    <w:rsid w:val="00FB1F96"/>
    <w:rsid w:val="00FE479E"/>
    <w:rsid w:val="00FE4C14"/>
    <w:rsid w:val="00FF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0E7217-2C01-4125-A373-12514000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79E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E47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E479E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F6E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6ED8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22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22EA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385986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EDDC8-76F1-428C-A74F-52FA00A44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502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Curso 2011</dc:creator>
  <cp:lastModifiedBy>NAA</cp:lastModifiedBy>
  <cp:revision>105</cp:revision>
  <cp:lastPrinted>2013-10-28T18:41:00Z</cp:lastPrinted>
  <dcterms:created xsi:type="dcterms:W3CDTF">2012-06-18T18:11:00Z</dcterms:created>
  <dcterms:modified xsi:type="dcterms:W3CDTF">2019-05-27T15:25:00Z</dcterms:modified>
</cp:coreProperties>
</file>