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CB117" w14:textId="4F15927C" w:rsidR="00BC4F70" w:rsidRDefault="00EB47D6" w:rsidP="00BC4F70">
      <w:r>
        <w:rPr>
          <w:rFonts w:cs="Arial"/>
          <w:noProof/>
          <w:sz w:val="16"/>
          <w:szCs w:val="16"/>
          <w:lang w:val="es-MX" w:eastAsia="es-MX"/>
        </w:rPr>
        <mc:AlternateContent>
          <mc:Choice Requires="wps">
            <w:drawing>
              <wp:anchor distT="0" distB="0" distL="114300" distR="114300" simplePos="0" relativeHeight="251657216" behindDoc="0" locked="0" layoutInCell="1" allowOverlap="1" wp14:anchorId="65E60061" wp14:editId="2EA534EC">
                <wp:simplePos x="0" y="0"/>
                <wp:positionH relativeFrom="column">
                  <wp:posOffset>-517100</wp:posOffset>
                </wp:positionH>
                <wp:positionV relativeFrom="paragraph">
                  <wp:posOffset>-68588</wp:posOffset>
                </wp:positionV>
                <wp:extent cx="859790" cy="234950"/>
                <wp:effectExtent l="0" t="0" r="16510" b="1270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790" cy="234950"/>
                        </a:xfrm>
                        <a:prstGeom prst="roundRect">
                          <a:avLst>
                            <a:gd name="adj" fmla="val 16667"/>
                          </a:avLst>
                        </a:prstGeom>
                        <a:solidFill>
                          <a:srgbClr val="FFFFFF"/>
                        </a:solidFill>
                        <a:ln w="9525">
                          <a:solidFill>
                            <a:srgbClr val="000000"/>
                          </a:solidFill>
                          <a:round/>
                          <a:headEnd/>
                          <a:tailEnd/>
                        </a:ln>
                      </wps:spPr>
                      <wps:txbx>
                        <w:txbxContent>
                          <w:p w14:paraId="3E325014" w14:textId="658E221E" w:rsidR="0074348B" w:rsidRPr="00472735" w:rsidRDefault="0074348B" w:rsidP="00925667">
                            <w:pPr>
                              <w:jc w:val="center"/>
                              <w:rPr>
                                <w:b/>
                                <w:sz w:val="20"/>
                                <w:szCs w:val="20"/>
                              </w:rPr>
                            </w:pPr>
                            <w:r w:rsidRPr="00472735">
                              <w:rPr>
                                <w:b/>
                                <w:sz w:val="20"/>
                                <w:szCs w:val="20"/>
                              </w:rPr>
                              <w:t>AR03</w:t>
                            </w:r>
                            <w:r w:rsidR="000A0D84" w:rsidRPr="00472735">
                              <w:rPr>
                                <w:b/>
                                <w:sz w:val="20"/>
                                <w:szCs w:val="20"/>
                              </w:rPr>
                              <w:t>b.3</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E60061" id="AutoShape 2" o:spid="_x0000_s1026" style="position:absolute;margin-left:-40.7pt;margin-top:-5.4pt;width:67.7pt;height: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">
                <v:textbox inset="1mm,1mm,1mm,1mm">
                  <w:txbxContent>
                    <w:p w14:paraId="3E325014" w14:textId="658E221E" w:rsidR="0074348B" w:rsidRPr="00472735" w:rsidRDefault="0074348B" w:rsidP="00925667">
                      <w:pPr>
                        <w:jc w:val="center"/>
                        <w:rPr>
                          <w:b/>
                          <w:sz w:val="20"/>
                          <w:szCs w:val="20"/>
                        </w:rPr>
                      </w:pPr>
                      <w:r w:rsidRPr="00472735">
                        <w:rPr>
                          <w:b/>
                          <w:sz w:val="20"/>
                          <w:szCs w:val="20"/>
                        </w:rPr>
                        <w:t>AR03</w:t>
                      </w:r>
                      <w:r w:rsidR="000A0D84" w:rsidRPr="00472735">
                        <w:rPr>
                          <w:b/>
                          <w:sz w:val="20"/>
                          <w:szCs w:val="20"/>
                        </w:rPr>
                        <w:t>b.3</w:t>
                      </w:r>
                    </w:p>
                  </w:txbxContent>
                </v:textbox>
              </v:roundrect>
            </w:pict>
          </mc:Fallback>
        </mc:AlternateContent>
      </w:r>
    </w:p>
    <w:tbl>
      <w:tblPr>
        <w:tblW w:w="10260" w:type="dxa"/>
        <w:tblInd w:w="-83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60"/>
      </w:tblGrid>
      <w:tr w:rsidR="00BC4F70" w:rsidRPr="00D804F7" w14:paraId="551791D9" w14:textId="77777777" w:rsidTr="00440E32">
        <w:trPr>
          <w:trHeight w:val="575"/>
        </w:trPr>
        <w:tc>
          <w:tcPr>
            <w:tcW w:w="10260" w:type="dxa"/>
            <w:tcBorders>
              <w:top w:val="single" w:sz="4" w:space="0" w:color="auto"/>
              <w:left w:val="single" w:sz="4" w:space="0" w:color="auto"/>
              <w:bottom w:val="single" w:sz="4" w:space="0" w:color="auto"/>
              <w:right w:val="single" w:sz="4" w:space="0" w:color="auto"/>
            </w:tcBorders>
            <w:vAlign w:val="center"/>
          </w:tcPr>
          <w:p w14:paraId="0FD27A8D" w14:textId="77777777" w:rsidR="00BC4F70" w:rsidRDefault="00BC4F70" w:rsidP="00C21904">
            <w:pPr>
              <w:tabs>
                <w:tab w:val="left" w:pos="0"/>
              </w:tabs>
              <w:ind w:right="110"/>
              <w:rPr>
                <w:rFonts w:cs="Arial"/>
                <w:b/>
                <w:bCs/>
                <w:sz w:val="16"/>
                <w:szCs w:val="16"/>
              </w:rPr>
            </w:pPr>
            <w:r>
              <w:rPr>
                <w:rFonts w:cs="Arial"/>
                <w:b/>
                <w:bCs/>
                <w:sz w:val="16"/>
                <w:szCs w:val="16"/>
              </w:rPr>
              <w:t>Nombre del indicador</w:t>
            </w:r>
          </w:p>
          <w:p w14:paraId="18B439BC" w14:textId="71833D7D" w:rsidR="00BC4F70" w:rsidRPr="004B33F1" w:rsidRDefault="003A64EE" w:rsidP="00BC535B">
            <w:pPr>
              <w:rPr>
                <w:rFonts w:cs="Arial"/>
                <w:bCs/>
                <w:sz w:val="16"/>
                <w:szCs w:val="16"/>
              </w:rPr>
            </w:pPr>
            <w:r w:rsidRPr="003A64EE">
              <w:rPr>
                <w:rFonts w:cs="Arial"/>
                <w:bCs/>
                <w:sz w:val="16"/>
                <w:szCs w:val="16"/>
              </w:rPr>
              <w:t xml:space="preserve">Gasto </w:t>
            </w:r>
            <w:r w:rsidR="00642208">
              <w:rPr>
                <w:rFonts w:cs="Arial"/>
                <w:bCs/>
                <w:sz w:val="16"/>
                <w:szCs w:val="16"/>
              </w:rPr>
              <w:t>F</w:t>
            </w:r>
            <w:r w:rsidRPr="003A64EE">
              <w:rPr>
                <w:rFonts w:cs="Arial"/>
                <w:bCs/>
                <w:sz w:val="16"/>
                <w:szCs w:val="16"/>
              </w:rPr>
              <w:t xml:space="preserve">ederal </w:t>
            </w:r>
            <w:r w:rsidR="00642208">
              <w:rPr>
                <w:rFonts w:cs="Arial"/>
                <w:bCs/>
                <w:sz w:val="16"/>
                <w:szCs w:val="16"/>
              </w:rPr>
              <w:t>D</w:t>
            </w:r>
            <w:r w:rsidRPr="003A64EE">
              <w:rPr>
                <w:rFonts w:cs="Arial"/>
                <w:bCs/>
                <w:sz w:val="16"/>
                <w:szCs w:val="16"/>
              </w:rPr>
              <w:t>escen</w:t>
            </w:r>
            <w:r>
              <w:rPr>
                <w:rFonts w:cs="Arial"/>
                <w:bCs/>
                <w:sz w:val="16"/>
                <w:szCs w:val="16"/>
              </w:rPr>
              <w:t xml:space="preserve">tralizado </w:t>
            </w:r>
            <w:r w:rsidR="00642208">
              <w:rPr>
                <w:rFonts w:cs="Arial"/>
                <w:bCs/>
                <w:sz w:val="16"/>
                <w:szCs w:val="16"/>
              </w:rPr>
              <w:t>E</w:t>
            </w:r>
            <w:r>
              <w:rPr>
                <w:rFonts w:cs="Arial"/>
                <w:bCs/>
                <w:sz w:val="16"/>
                <w:szCs w:val="16"/>
              </w:rPr>
              <w:t xml:space="preserve">jercido en </w:t>
            </w:r>
            <w:r w:rsidR="00642208">
              <w:rPr>
                <w:rFonts w:cs="Arial"/>
                <w:bCs/>
                <w:sz w:val="16"/>
                <w:szCs w:val="16"/>
              </w:rPr>
              <w:t>E</w:t>
            </w:r>
            <w:r>
              <w:rPr>
                <w:rFonts w:cs="Arial"/>
                <w:bCs/>
                <w:sz w:val="16"/>
                <w:szCs w:val="16"/>
              </w:rPr>
              <w:t>ducación</w:t>
            </w:r>
            <w:r w:rsidR="000A0D84">
              <w:rPr>
                <w:rFonts w:cs="Arial"/>
                <w:bCs/>
                <w:sz w:val="16"/>
                <w:szCs w:val="16"/>
              </w:rPr>
              <w:t xml:space="preserve"> </w:t>
            </w:r>
            <w:r w:rsidR="00642208">
              <w:rPr>
                <w:rFonts w:cs="Arial"/>
                <w:bCs/>
                <w:sz w:val="16"/>
                <w:szCs w:val="16"/>
              </w:rPr>
              <w:t>O</w:t>
            </w:r>
            <w:r w:rsidR="000A0D84">
              <w:rPr>
                <w:rFonts w:cs="Arial"/>
                <w:bCs/>
                <w:sz w:val="16"/>
                <w:szCs w:val="16"/>
              </w:rPr>
              <w:t>bligatoria</w:t>
            </w:r>
          </w:p>
        </w:tc>
      </w:tr>
      <w:tr w:rsidR="00BC4F70" w:rsidRPr="00D804F7" w14:paraId="1EAF9EF5" w14:textId="77777777" w:rsidTr="00DB21D4">
        <w:trPr>
          <w:trHeight w:val="755"/>
        </w:trPr>
        <w:tc>
          <w:tcPr>
            <w:tcW w:w="10260" w:type="dxa"/>
            <w:tcBorders>
              <w:top w:val="single" w:sz="4" w:space="0" w:color="auto"/>
              <w:left w:val="single" w:sz="4" w:space="0" w:color="auto"/>
              <w:bottom w:val="single" w:sz="4" w:space="0" w:color="auto"/>
              <w:right w:val="single" w:sz="4" w:space="0" w:color="auto"/>
            </w:tcBorders>
            <w:vAlign w:val="center"/>
          </w:tcPr>
          <w:p w14:paraId="044326A6" w14:textId="354D02F4" w:rsidR="00B8075F" w:rsidRDefault="00226A4A" w:rsidP="00B8075F">
            <w:pPr>
              <w:rPr>
                <w:rFonts w:cs="Arial"/>
                <w:b/>
                <w:sz w:val="16"/>
                <w:szCs w:val="16"/>
              </w:rPr>
            </w:pPr>
            <w:r>
              <w:rPr>
                <w:rFonts w:cs="Arial"/>
                <w:b/>
                <w:sz w:val="16"/>
                <w:szCs w:val="16"/>
              </w:rPr>
              <w:t>Definición</w:t>
            </w:r>
          </w:p>
          <w:p w14:paraId="1F2E689A" w14:textId="50B8C973" w:rsidR="00FD728E" w:rsidRPr="00FD728E" w:rsidRDefault="00FD728E" w:rsidP="00803434">
            <w:pPr>
              <w:rPr>
                <w:rFonts w:cs="Arial"/>
                <w:sz w:val="16"/>
                <w:szCs w:val="16"/>
                <w:lang w:val="es-MX"/>
              </w:rPr>
            </w:pPr>
            <w:r w:rsidRPr="00FD728E">
              <w:rPr>
                <w:rFonts w:cs="Arial"/>
                <w:sz w:val="16"/>
                <w:szCs w:val="16"/>
                <w:lang w:val="es-MX"/>
              </w:rPr>
              <w:t>Total de aportaciones federales</w:t>
            </w:r>
            <w:r w:rsidR="008D2172">
              <w:rPr>
                <w:rFonts w:cs="Arial"/>
                <w:sz w:val="16"/>
                <w:szCs w:val="16"/>
                <w:lang w:val="es-MX"/>
              </w:rPr>
              <w:t xml:space="preserve"> anuales </w:t>
            </w:r>
            <w:r w:rsidR="000A0D84">
              <w:rPr>
                <w:rFonts w:cs="Arial"/>
                <w:sz w:val="16"/>
                <w:szCs w:val="16"/>
                <w:lang w:val="es-MX"/>
              </w:rPr>
              <w:t xml:space="preserve">transferidas </w:t>
            </w:r>
            <w:r w:rsidR="008D2172">
              <w:rPr>
                <w:rFonts w:cs="Arial"/>
                <w:sz w:val="16"/>
                <w:szCs w:val="16"/>
                <w:lang w:val="es-MX"/>
              </w:rPr>
              <w:t>a las entidades</w:t>
            </w:r>
            <w:r w:rsidR="000A0D84">
              <w:rPr>
                <w:rFonts w:cs="Arial"/>
                <w:sz w:val="16"/>
                <w:szCs w:val="16"/>
                <w:lang w:val="es-MX"/>
              </w:rPr>
              <w:t xml:space="preserve"> federativas</w:t>
            </w:r>
            <w:r w:rsidRPr="00FD728E">
              <w:rPr>
                <w:rFonts w:cs="Arial"/>
                <w:sz w:val="16"/>
                <w:szCs w:val="16"/>
                <w:lang w:val="es-MX"/>
              </w:rPr>
              <w:t xml:space="preserve"> para el desarrollo de acciones en materia de </w:t>
            </w:r>
            <w:r w:rsidR="000A0D84">
              <w:rPr>
                <w:rFonts w:cs="Arial"/>
                <w:sz w:val="16"/>
                <w:szCs w:val="16"/>
                <w:lang w:val="es-MX"/>
              </w:rPr>
              <w:t>educación obligatoria</w:t>
            </w:r>
            <w:r w:rsidRPr="00FD728E">
              <w:rPr>
                <w:rFonts w:cs="Arial"/>
                <w:sz w:val="16"/>
                <w:szCs w:val="16"/>
                <w:lang w:val="es-MX"/>
              </w:rPr>
              <w:t xml:space="preserve">, </w:t>
            </w:r>
            <w:r w:rsidR="00333BD0">
              <w:rPr>
                <w:rFonts w:cs="Arial"/>
                <w:sz w:val="16"/>
                <w:szCs w:val="16"/>
                <w:lang w:val="es-MX"/>
              </w:rPr>
              <w:t>inclu</w:t>
            </w:r>
            <w:r w:rsidR="00874832">
              <w:rPr>
                <w:rFonts w:cs="Arial"/>
                <w:sz w:val="16"/>
                <w:szCs w:val="16"/>
                <w:lang w:val="es-MX"/>
              </w:rPr>
              <w:t>ida</w:t>
            </w:r>
            <w:r w:rsidRPr="00FD728E">
              <w:rPr>
                <w:rFonts w:cs="Arial"/>
                <w:sz w:val="16"/>
                <w:szCs w:val="16"/>
                <w:lang w:val="es-MX"/>
              </w:rPr>
              <w:t xml:space="preserve"> </w:t>
            </w:r>
            <w:r w:rsidR="00874832">
              <w:rPr>
                <w:rFonts w:cs="Arial"/>
                <w:sz w:val="16"/>
                <w:szCs w:val="16"/>
                <w:lang w:val="es-MX"/>
              </w:rPr>
              <w:t xml:space="preserve">la </w:t>
            </w:r>
            <w:r w:rsidRPr="00FD728E">
              <w:rPr>
                <w:rFonts w:cs="Arial"/>
                <w:sz w:val="16"/>
                <w:szCs w:val="16"/>
                <w:lang w:val="es-MX"/>
              </w:rPr>
              <w:t>atención</w:t>
            </w:r>
            <w:r w:rsidR="000A0D84">
              <w:rPr>
                <w:rFonts w:cs="Arial"/>
                <w:sz w:val="16"/>
                <w:szCs w:val="16"/>
                <w:lang w:val="es-MX"/>
              </w:rPr>
              <w:t xml:space="preserve"> a la infraestructura educativa</w:t>
            </w:r>
            <w:r w:rsidRPr="00FD728E">
              <w:rPr>
                <w:rFonts w:cs="Arial"/>
                <w:sz w:val="16"/>
                <w:szCs w:val="16"/>
                <w:lang w:val="es-MX"/>
              </w:rPr>
              <w:t>.</w:t>
            </w:r>
          </w:p>
          <w:p w14:paraId="526F9B8F" w14:textId="77777777" w:rsidR="00B8075F" w:rsidRPr="00FD728E" w:rsidRDefault="00B8075F" w:rsidP="003B3DBD">
            <w:pPr>
              <w:rPr>
                <w:rFonts w:cs="Arial"/>
                <w:sz w:val="16"/>
                <w:szCs w:val="16"/>
                <w:lang w:val="es-MX"/>
              </w:rPr>
            </w:pPr>
          </w:p>
        </w:tc>
      </w:tr>
      <w:tr w:rsidR="00BC4F70" w:rsidRPr="00D804F7" w14:paraId="596570BF" w14:textId="77777777" w:rsidTr="00DB21D4">
        <w:trPr>
          <w:trHeight w:val="1530"/>
        </w:trPr>
        <w:tc>
          <w:tcPr>
            <w:tcW w:w="10260" w:type="dxa"/>
            <w:vMerge w:val="restart"/>
            <w:tcBorders>
              <w:top w:val="single" w:sz="4" w:space="0" w:color="auto"/>
              <w:bottom w:val="single" w:sz="4" w:space="0" w:color="auto"/>
              <w:right w:val="single" w:sz="4" w:space="0" w:color="auto"/>
            </w:tcBorders>
            <w:shd w:val="clear" w:color="auto" w:fill="auto"/>
          </w:tcPr>
          <w:p w14:paraId="5271E6F5" w14:textId="5BDACD0E" w:rsidR="00BC4F70" w:rsidRPr="00D804F7" w:rsidRDefault="00440E32" w:rsidP="00440E32">
            <w:pPr>
              <w:ind w:left="708" w:right="-70" w:hanging="708"/>
              <w:rPr>
                <w:rFonts w:cs="Arial"/>
                <w:b/>
                <w:sz w:val="16"/>
                <w:szCs w:val="16"/>
              </w:rPr>
            </w:pPr>
            <w:r>
              <w:rPr>
                <w:rFonts w:cs="Arial"/>
                <w:b/>
                <w:sz w:val="16"/>
                <w:szCs w:val="16"/>
              </w:rPr>
              <w:t>F</w:t>
            </w:r>
            <w:r w:rsidR="001D4737" w:rsidRPr="00D804F7">
              <w:rPr>
                <w:rFonts w:cs="Arial"/>
                <w:b/>
                <w:sz w:val="16"/>
                <w:szCs w:val="16"/>
              </w:rPr>
              <w:t>órmula</w:t>
            </w:r>
            <w:r w:rsidR="00BC4F70" w:rsidRPr="00D804F7">
              <w:rPr>
                <w:rFonts w:cs="Arial"/>
                <w:b/>
                <w:sz w:val="16"/>
                <w:szCs w:val="16"/>
              </w:rPr>
              <w:t xml:space="preserve"> de </w:t>
            </w:r>
            <w:r w:rsidR="00BC4F70" w:rsidRPr="00176983">
              <w:rPr>
                <w:rFonts w:cs="Arial"/>
                <w:b/>
                <w:sz w:val="16"/>
                <w:szCs w:val="16"/>
              </w:rPr>
              <w:t>cálculo</w:t>
            </w:r>
            <w:r w:rsidR="00087D1C" w:rsidRPr="00176983">
              <w:rPr>
                <w:rFonts w:cs="Arial"/>
                <w:b/>
                <w:sz w:val="16"/>
                <w:szCs w:val="16"/>
                <w:vertAlign w:val="superscript"/>
              </w:rPr>
              <w:t xml:space="preserve"> </w:t>
            </w:r>
            <w:r w:rsidR="00087D1C" w:rsidRPr="00176983">
              <w:rPr>
                <w:rFonts w:cs="Arial"/>
                <w:sz w:val="16"/>
                <w:szCs w:val="16"/>
                <w:vertAlign w:val="superscript"/>
              </w:rPr>
              <w:t>1</w:t>
            </w:r>
            <w:r w:rsidR="00874832" w:rsidRPr="00176983">
              <w:rPr>
                <w:rFonts w:cs="Arial"/>
                <w:sz w:val="16"/>
                <w:szCs w:val="16"/>
                <w:vertAlign w:val="superscript"/>
              </w:rPr>
              <w:t xml:space="preserve">, </w:t>
            </w:r>
            <w:r w:rsidR="00087D1C" w:rsidRPr="00176983">
              <w:rPr>
                <w:rFonts w:cs="Arial"/>
                <w:sz w:val="16"/>
                <w:szCs w:val="16"/>
                <w:vertAlign w:val="superscript"/>
              </w:rPr>
              <w:t>2</w:t>
            </w:r>
            <w:r w:rsidR="00874832" w:rsidRPr="00176983">
              <w:rPr>
                <w:rFonts w:cs="Arial"/>
                <w:sz w:val="16"/>
                <w:szCs w:val="16"/>
                <w:vertAlign w:val="superscript"/>
              </w:rPr>
              <w:t xml:space="preserve">, </w:t>
            </w:r>
            <w:r w:rsidRPr="00176983">
              <w:rPr>
                <w:rFonts w:cs="Arial"/>
                <w:sz w:val="16"/>
                <w:szCs w:val="16"/>
                <w:vertAlign w:val="superscript"/>
              </w:rPr>
              <w:t>3</w:t>
            </w:r>
          </w:p>
          <w:p w14:paraId="4AC057EA" w14:textId="69741FB9" w:rsidR="0094611C" w:rsidRDefault="00485D7E" w:rsidP="00C41112">
            <w:pPr>
              <w:ind w:left="180" w:right="110"/>
              <w:jc w:val="center"/>
              <w:rPr>
                <w:rFonts w:cs="Arial"/>
                <w:sz w:val="16"/>
                <w:szCs w:val="16"/>
              </w:rPr>
            </w:pPr>
            <w:r w:rsidRPr="00DE1E91">
              <w:rPr>
                <w:rFonts w:cs="Arial"/>
                <w:sz w:val="16"/>
                <w:szCs w:val="16"/>
              </w:rPr>
              <w:fldChar w:fldCharType="begin"/>
            </w:r>
            <w:r w:rsidRPr="00DE1E91">
              <w:rPr>
                <w:rFonts w:cs="Arial"/>
                <w:sz w:val="16"/>
                <w:szCs w:val="16"/>
              </w:rPr>
              <w:fldChar w:fldCharType="end"/>
            </w:r>
          </w:p>
          <w:p w14:paraId="456523A6" w14:textId="390BF9AD" w:rsidR="00030F82" w:rsidRDefault="008E3474" w:rsidP="00C41112">
            <w:pPr>
              <w:ind w:left="180" w:right="110"/>
              <w:jc w:val="center"/>
              <w:rPr>
                <w:rFonts w:cs="Arial"/>
                <w:sz w:val="16"/>
                <w:szCs w:val="16"/>
              </w:rPr>
            </w:pPr>
            <w:r w:rsidRPr="008E3474">
              <w:rPr>
                <w:rFonts w:cs="Arial"/>
                <w:sz w:val="16"/>
                <w:szCs w:val="16"/>
              </w:rPr>
              <w:fldChar w:fldCharType="begin"/>
            </w:r>
            <w:r w:rsidRPr="008E3474">
              <w:rPr>
                <w:rFonts w:cs="Arial"/>
                <w:sz w:val="16"/>
                <w:szCs w:val="16"/>
              </w:rPr>
              <w:fldChar w:fldCharType="separate"/>
            </w:r>
            <w:r w:rsidR="00B42D31">
              <w:rPr>
                <w:rFonts w:cs="Arial"/>
                <w:noProof/>
                <w:position w:val="-12"/>
                <w:sz w:val="16"/>
                <w:szCs w:val="16"/>
                <w:lang w:val="es-MX" w:eastAsia="es-MX"/>
              </w:rPr>
              <w:drawing>
                <wp:inline distT="0" distB="0" distL="0" distR="0" wp14:anchorId="56D74A94" wp14:editId="5BF09EE1">
                  <wp:extent cx="1308100" cy="212725"/>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8100" cy="212725"/>
                          </a:xfrm>
                          <a:prstGeom prst="rect">
                            <a:avLst/>
                          </a:prstGeom>
                          <a:noFill/>
                          <a:ln>
                            <a:noFill/>
                          </a:ln>
                        </pic:spPr>
                      </pic:pic>
                    </a:graphicData>
                  </a:graphic>
                </wp:inline>
              </w:drawing>
            </w:r>
            <w:r w:rsidRPr="008E3474">
              <w:rPr>
                <w:rFonts w:cs="Arial"/>
                <w:sz w:val="16"/>
                <w:szCs w:val="16"/>
              </w:rPr>
              <w:fldChar w:fldCharType="end"/>
            </w:r>
          </w:p>
          <w:p w14:paraId="541562E8" w14:textId="3522C7B4" w:rsidR="00C41112" w:rsidRDefault="00035381" w:rsidP="00C41112">
            <w:pPr>
              <w:ind w:left="180" w:right="110"/>
              <w:jc w:val="center"/>
              <w:rPr>
                <w:rFonts w:cs="Arial"/>
                <w:sz w:val="16"/>
                <w:szCs w:val="16"/>
              </w:rPr>
            </w:pPr>
            <w:r w:rsidRPr="00DE1E91">
              <w:rPr>
                <w:rFonts w:cs="Arial"/>
                <w:position w:val="-14"/>
                <w:sz w:val="16"/>
                <w:szCs w:val="16"/>
              </w:rPr>
              <w:object w:dxaOrig="3640" w:dyaOrig="380" w14:anchorId="1C5500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18pt" o:ole="">
                  <v:imagedata r:id="rId9" o:title=""/>
                </v:shape>
                <o:OLEObject Type="Embed" ProgID="Equation.3" ShapeID="_x0000_i1025" DrawAspect="Content" ObjectID="_1623686785" r:id="rId10"/>
              </w:object>
            </w:r>
          </w:p>
          <w:p w14:paraId="538042AF" w14:textId="77777777" w:rsidR="00FD277A" w:rsidRDefault="00FD277A" w:rsidP="00C41112">
            <w:pPr>
              <w:ind w:left="180" w:right="110"/>
              <w:jc w:val="center"/>
              <w:rPr>
                <w:rFonts w:cs="Arial"/>
                <w:sz w:val="16"/>
                <w:szCs w:val="16"/>
              </w:rPr>
            </w:pPr>
          </w:p>
          <w:p w14:paraId="7A8B1CB2" w14:textId="77777777" w:rsidR="009B6EB1" w:rsidRPr="00DE1E91" w:rsidRDefault="009B6EB1" w:rsidP="00C41112">
            <w:pPr>
              <w:ind w:left="180" w:right="110"/>
              <w:jc w:val="center"/>
              <w:rPr>
                <w:rFonts w:cs="Arial"/>
                <w:sz w:val="16"/>
                <w:szCs w:val="16"/>
              </w:rPr>
            </w:pPr>
          </w:p>
          <w:tbl>
            <w:tblPr>
              <w:tblW w:w="0" w:type="auto"/>
              <w:tblLayout w:type="fixed"/>
              <w:tblLook w:val="01E0" w:firstRow="1" w:lastRow="1" w:firstColumn="1" w:lastColumn="1" w:noHBand="0" w:noVBand="0"/>
            </w:tblPr>
            <w:tblGrid>
              <w:gridCol w:w="900"/>
              <w:gridCol w:w="9002"/>
            </w:tblGrid>
            <w:tr w:rsidR="00C41112" w:rsidRPr="00882E6F" w14:paraId="0492F7C8" w14:textId="77777777" w:rsidTr="00882E6F">
              <w:tc>
                <w:tcPr>
                  <w:tcW w:w="900" w:type="dxa"/>
                  <w:tcMar>
                    <w:left w:w="28" w:type="dxa"/>
                    <w:right w:w="28" w:type="dxa"/>
                  </w:tcMar>
                </w:tcPr>
                <w:p w14:paraId="45D8D2CC" w14:textId="56D864EF" w:rsidR="00C41112" w:rsidRPr="00882E6F" w:rsidRDefault="00035381" w:rsidP="00C41112">
                  <w:pPr>
                    <w:rPr>
                      <w:rFonts w:cs="Arial"/>
                      <w:sz w:val="16"/>
                      <w:szCs w:val="16"/>
                    </w:rPr>
                  </w:pPr>
                  <w:r w:rsidRPr="006327E1">
                    <w:rPr>
                      <w:rFonts w:cs="Arial"/>
                      <w:position w:val="-12"/>
                      <w:sz w:val="16"/>
                      <w:szCs w:val="16"/>
                    </w:rPr>
                    <w:object w:dxaOrig="920" w:dyaOrig="360" w14:anchorId="040AE906">
                      <v:shape id="_x0000_i1026" type="#_x0000_t75" style="width:36pt;height:13.5pt" o:ole="">
                        <v:imagedata r:id="rId11" o:title=""/>
                      </v:shape>
                      <o:OLEObject Type="Embed" ProgID="Equation.3" ShapeID="_x0000_i1026" DrawAspect="Content" ObjectID="_1623686786" r:id="rId12"/>
                    </w:object>
                  </w:r>
                  <w:r w:rsidR="00C41112" w:rsidRPr="00882E6F">
                    <w:rPr>
                      <w:rFonts w:cs="Arial"/>
                      <w:sz w:val="16"/>
                      <w:szCs w:val="16"/>
                    </w:rPr>
                    <w:t xml:space="preserve"> </w:t>
                  </w:r>
                </w:p>
              </w:tc>
              <w:tc>
                <w:tcPr>
                  <w:tcW w:w="9002" w:type="dxa"/>
                  <w:vAlign w:val="center"/>
                </w:tcPr>
                <w:p w14:paraId="2A1BB8F2" w14:textId="2393F372" w:rsidR="00DB14C7" w:rsidRPr="00882E6F" w:rsidRDefault="00C41112" w:rsidP="000A0D84">
                  <w:pPr>
                    <w:rPr>
                      <w:rFonts w:cs="Arial"/>
                      <w:sz w:val="16"/>
                      <w:szCs w:val="16"/>
                    </w:rPr>
                  </w:pPr>
                  <w:r w:rsidRPr="00882E6F">
                    <w:rPr>
                      <w:rFonts w:cs="Arial"/>
                      <w:sz w:val="16"/>
                      <w:szCs w:val="16"/>
                    </w:rPr>
                    <w:t xml:space="preserve">Gasto </w:t>
                  </w:r>
                  <w:r w:rsidR="00642208">
                    <w:rPr>
                      <w:rFonts w:cs="Arial"/>
                      <w:sz w:val="16"/>
                      <w:szCs w:val="16"/>
                    </w:rPr>
                    <w:t>F</w:t>
                  </w:r>
                  <w:r w:rsidRPr="00882E6F">
                    <w:rPr>
                      <w:rFonts w:cs="Arial"/>
                      <w:sz w:val="16"/>
                      <w:szCs w:val="16"/>
                    </w:rPr>
                    <w:t xml:space="preserve">ederal </w:t>
                  </w:r>
                  <w:r w:rsidR="00642208">
                    <w:rPr>
                      <w:rFonts w:cs="Arial"/>
                      <w:sz w:val="16"/>
                      <w:szCs w:val="16"/>
                    </w:rPr>
                    <w:t>D</w:t>
                  </w:r>
                  <w:r w:rsidRPr="00882E6F">
                    <w:rPr>
                      <w:rFonts w:cs="Arial"/>
                      <w:sz w:val="16"/>
                      <w:szCs w:val="16"/>
                    </w:rPr>
                    <w:t xml:space="preserve">escentralizado </w:t>
                  </w:r>
                  <w:r w:rsidR="00642208">
                    <w:rPr>
                      <w:rFonts w:cs="Arial"/>
                      <w:sz w:val="16"/>
                      <w:szCs w:val="16"/>
                    </w:rPr>
                    <w:t>E</w:t>
                  </w:r>
                  <w:r w:rsidRPr="00882E6F">
                    <w:rPr>
                      <w:rFonts w:cs="Arial"/>
                      <w:sz w:val="16"/>
                      <w:szCs w:val="16"/>
                    </w:rPr>
                    <w:t xml:space="preserve">jercido </w:t>
                  </w:r>
                  <w:r w:rsidR="008E3474">
                    <w:rPr>
                      <w:rFonts w:cs="Arial"/>
                      <w:sz w:val="16"/>
                      <w:szCs w:val="16"/>
                    </w:rPr>
                    <w:t>en</w:t>
                  </w:r>
                  <w:r w:rsidRPr="00882E6F">
                    <w:rPr>
                      <w:rFonts w:cs="Arial"/>
                      <w:sz w:val="16"/>
                      <w:szCs w:val="16"/>
                    </w:rPr>
                    <w:t xml:space="preserve"> </w:t>
                  </w:r>
                  <w:r w:rsidR="00642208">
                    <w:rPr>
                      <w:rFonts w:cs="Arial"/>
                      <w:sz w:val="16"/>
                      <w:szCs w:val="16"/>
                    </w:rPr>
                    <w:t>E</w:t>
                  </w:r>
                  <w:r w:rsidRPr="00882E6F">
                    <w:rPr>
                      <w:rFonts w:cs="Arial"/>
                      <w:sz w:val="16"/>
                      <w:szCs w:val="16"/>
                    </w:rPr>
                    <w:t xml:space="preserve">ducación </w:t>
                  </w:r>
                  <w:r w:rsidR="00642208">
                    <w:rPr>
                      <w:rFonts w:cs="Arial"/>
                      <w:sz w:val="16"/>
                      <w:szCs w:val="16"/>
                    </w:rPr>
                    <w:t>O</w:t>
                  </w:r>
                  <w:r w:rsidR="000A0D84">
                    <w:rPr>
                      <w:rFonts w:cs="Arial"/>
                      <w:sz w:val="16"/>
                      <w:szCs w:val="16"/>
                    </w:rPr>
                    <w:t xml:space="preserve">bligatoria </w:t>
                  </w:r>
                  <w:r w:rsidRPr="00882E6F">
                    <w:rPr>
                      <w:rFonts w:cs="Arial"/>
                      <w:sz w:val="16"/>
                      <w:szCs w:val="16"/>
                    </w:rPr>
                    <w:t xml:space="preserve">en el año de referencia para la entidad </w:t>
                  </w:r>
                  <w:r w:rsidRPr="000F7767">
                    <w:rPr>
                      <w:rFonts w:cs="Arial"/>
                      <w:i/>
                      <w:sz w:val="16"/>
                      <w:szCs w:val="16"/>
                    </w:rPr>
                    <w:t>i</w:t>
                  </w:r>
                  <w:r w:rsidRPr="00882E6F">
                    <w:rPr>
                      <w:rFonts w:cs="Arial"/>
                      <w:sz w:val="16"/>
                      <w:szCs w:val="16"/>
                    </w:rPr>
                    <w:t>.</w:t>
                  </w:r>
                </w:p>
              </w:tc>
            </w:tr>
            <w:tr w:rsidR="00DB14C7" w:rsidRPr="00882E6F" w14:paraId="302A45D8" w14:textId="77777777" w:rsidTr="00882E6F">
              <w:tc>
                <w:tcPr>
                  <w:tcW w:w="900" w:type="dxa"/>
                  <w:tcMar>
                    <w:left w:w="28" w:type="dxa"/>
                    <w:right w:w="28" w:type="dxa"/>
                  </w:tcMar>
                </w:tcPr>
                <w:p w14:paraId="15385B4C" w14:textId="77777777" w:rsidR="00DB14C7" w:rsidRPr="00882E6F" w:rsidRDefault="00060BAB" w:rsidP="00C41112">
                  <w:pPr>
                    <w:rPr>
                      <w:rFonts w:cs="Arial"/>
                      <w:sz w:val="16"/>
                      <w:szCs w:val="16"/>
                    </w:rPr>
                  </w:pPr>
                  <w:r w:rsidRPr="004B295A">
                    <w:rPr>
                      <w:rFonts w:cs="Arial"/>
                      <w:position w:val="-4"/>
                      <w:sz w:val="16"/>
                      <w:szCs w:val="16"/>
                    </w:rPr>
                    <w:object w:dxaOrig="139" w:dyaOrig="240" w14:anchorId="319A36CA">
                      <v:shape id="_x0000_i1027" type="#_x0000_t75" style="width:6.75pt;height:12pt" o:ole="">
                        <v:imagedata r:id="rId13" o:title=""/>
                      </v:shape>
                      <o:OLEObject Type="Embed" ProgID="Equation.3" ShapeID="_x0000_i1027" DrawAspect="Content" ObjectID="_1623686787" r:id="rId14"/>
                    </w:object>
                  </w:r>
                </w:p>
              </w:tc>
              <w:tc>
                <w:tcPr>
                  <w:tcW w:w="9002" w:type="dxa"/>
                  <w:vAlign w:val="center"/>
                </w:tcPr>
                <w:p w14:paraId="2E132975" w14:textId="00FCB1D9" w:rsidR="00DB14C7" w:rsidRPr="00882E6F" w:rsidRDefault="000A0D84" w:rsidP="00882E6F">
                  <w:pPr>
                    <w:ind w:right="110"/>
                    <w:rPr>
                      <w:rFonts w:cs="Arial"/>
                      <w:sz w:val="16"/>
                      <w:szCs w:val="16"/>
                    </w:rPr>
                  </w:pPr>
                  <w:r>
                    <w:rPr>
                      <w:rFonts w:cs="Arial"/>
                      <w:sz w:val="16"/>
                      <w:szCs w:val="16"/>
                    </w:rPr>
                    <w:t xml:space="preserve">Entidad federativa </w:t>
                  </w:r>
                  <w:r w:rsidRPr="00464FB2">
                    <w:rPr>
                      <w:rFonts w:cs="Arial"/>
                      <w:i/>
                      <w:sz w:val="16"/>
                      <w:szCs w:val="16"/>
                    </w:rPr>
                    <w:t>i</w:t>
                  </w:r>
                  <w:r w:rsidR="001D403B">
                    <w:rPr>
                      <w:rFonts w:cs="Arial"/>
                      <w:sz w:val="16"/>
                      <w:szCs w:val="16"/>
                    </w:rPr>
                    <w:t>.</w:t>
                  </w:r>
                </w:p>
              </w:tc>
            </w:tr>
            <w:tr w:rsidR="00C41112" w:rsidRPr="00882E6F" w14:paraId="7A4F1C43" w14:textId="77777777" w:rsidTr="00882E6F">
              <w:tc>
                <w:tcPr>
                  <w:tcW w:w="900" w:type="dxa"/>
                  <w:tcMar>
                    <w:left w:w="28" w:type="dxa"/>
                    <w:right w:w="28" w:type="dxa"/>
                  </w:tcMar>
                </w:tcPr>
                <w:p w14:paraId="60C64F3A" w14:textId="1B37A825" w:rsidR="00C41112" w:rsidRPr="00882E6F" w:rsidRDefault="00035381" w:rsidP="00C41112">
                  <w:pPr>
                    <w:rPr>
                      <w:rFonts w:cs="Arial"/>
                      <w:sz w:val="16"/>
                      <w:szCs w:val="16"/>
                    </w:rPr>
                  </w:pPr>
                  <w:r w:rsidRPr="004B295A">
                    <w:rPr>
                      <w:rFonts w:cs="Arial"/>
                      <w:position w:val="-12"/>
                      <w:sz w:val="16"/>
                      <w:szCs w:val="16"/>
                    </w:rPr>
                    <w:object w:dxaOrig="700" w:dyaOrig="360" w14:anchorId="0434B249">
                      <v:shape id="_x0000_i1028" type="#_x0000_t75" style="width:34.5pt;height:18pt" o:ole="">
                        <v:imagedata r:id="rId15" o:title=""/>
                      </v:shape>
                      <o:OLEObject Type="Embed" ProgID="Equation.3" ShapeID="_x0000_i1028" DrawAspect="Content" ObjectID="_1623686788" r:id="rId16"/>
                    </w:object>
                  </w:r>
                  <w:r w:rsidR="00C41112" w:rsidRPr="00882E6F">
                    <w:rPr>
                      <w:rFonts w:cs="Arial"/>
                      <w:sz w:val="16"/>
                      <w:szCs w:val="16"/>
                    </w:rPr>
                    <w:t xml:space="preserve">      </w:t>
                  </w:r>
                </w:p>
              </w:tc>
              <w:tc>
                <w:tcPr>
                  <w:tcW w:w="9002" w:type="dxa"/>
                  <w:vAlign w:val="center"/>
                </w:tcPr>
                <w:p w14:paraId="32DA4328" w14:textId="42FE613E" w:rsidR="00C41112" w:rsidRPr="00882E6F" w:rsidRDefault="00035381" w:rsidP="000A0D84">
                  <w:pPr>
                    <w:ind w:right="110"/>
                    <w:rPr>
                      <w:rFonts w:cs="Arial"/>
                      <w:sz w:val="16"/>
                      <w:szCs w:val="16"/>
                    </w:rPr>
                  </w:pPr>
                  <w:r>
                    <w:rPr>
                      <w:rFonts w:cs="Arial"/>
                      <w:sz w:val="16"/>
                      <w:szCs w:val="16"/>
                    </w:rPr>
                    <w:t>Gasto anual</w:t>
                  </w:r>
                  <w:r w:rsidR="001D403B">
                    <w:rPr>
                      <w:rFonts w:cs="Arial"/>
                      <w:sz w:val="16"/>
                      <w:szCs w:val="16"/>
                    </w:rPr>
                    <w:t xml:space="preserve"> del </w:t>
                  </w:r>
                  <w:r w:rsidR="000A0D84">
                    <w:rPr>
                      <w:rFonts w:cs="Arial"/>
                      <w:smallCaps/>
                      <w:sz w:val="16"/>
                      <w:szCs w:val="16"/>
                    </w:rPr>
                    <w:t>FONE</w:t>
                  </w:r>
                  <w:r w:rsidR="002B1AB0">
                    <w:rPr>
                      <w:rFonts w:cs="Arial"/>
                      <w:smallCaps/>
                      <w:sz w:val="16"/>
                      <w:szCs w:val="16"/>
                    </w:rPr>
                    <w:t xml:space="preserve"> </w:t>
                  </w:r>
                  <w:r w:rsidR="00C41112" w:rsidRPr="00882E6F">
                    <w:rPr>
                      <w:rFonts w:cs="Arial"/>
                      <w:sz w:val="16"/>
                      <w:szCs w:val="16"/>
                    </w:rPr>
                    <w:t xml:space="preserve">en la entidad </w:t>
                  </w:r>
                  <w:r w:rsidR="00C41112" w:rsidRPr="00882E6F">
                    <w:rPr>
                      <w:rFonts w:cs="Arial"/>
                      <w:position w:val="-4"/>
                      <w:sz w:val="16"/>
                      <w:szCs w:val="16"/>
                    </w:rPr>
                    <w:object w:dxaOrig="120" w:dyaOrig="200" w14:anchorId="74A85842">
                      <v:shape id="_x0000_i1029" type="#_x0000_t75" style="width:6.75pt;height:10.5pt" o:ole="">
                        <v:imagedata r:id="rId17" o:title=""/>
                      </v:shape>
                      <o:OLEObject Type="Embed" ProgID="Equation.3" ShapeID="_x0000_i1029" DrawAspect="Content" ObjectID="_1623686789" r:id="rId18"/>
                    </w:object>
                  </w:r>
                  <w:r w:rsidR="00C41112" w:rsidRPr="00882E6F">
                    <w:rPr>
                      <w:rFonts w:cs="Arial"/>
                      <w:sz w:val="16"/>
                      <w:szCs w:val="16"/>
                    </w:rPr>
                    <w:t>.</w:t>
                  </w:r>
                </w:p>
              </w:tc>
            </w:tr>
            <w:tr w:rsidR="00C41112" w:rsidRPr="00882E6F" w14:paraId="4D075C9F" w14:textId="77777777" w:rsidTr="00882E6F">
              <w:tc>
                <w:tcPr>
                  <w:tcW w:w="900" w:type="dxa"/>
                  <w:tcMar>
                    <w:left w:w="28" w:type="dxa"/>
                    <w:right w:w="28" w:type="dxa"/>
                  </w:tcMar>
                </w:tcPr>
                <w:p w14:paraId="47FC2229" w14:textId="77777777" w:rsidR="00C41112" w:rsidRPr="00882E6F" w:rsidRDefault="004B295A" w:rsidP="00C41112">
                  <w:pPr>
                    <w:rPr>
                      <w:rFonts w:cs="Arial"/>
                      <w:sz w:val="16"/>
                      <w:szCs w:val="16"/>
                    </w:rPr>
                  </w:pPr>
                  <w:r w:rsidRPr="004B295A">
                    <w:rPr>
                      <w:rFonts w:cs="Arial"/>
                      <w:position w:val="-12"/>
                      <w:sz w:val="16"/>
                      <w:szCs w:val="16"/>
                    </w:rPr>
                    <w:object w:dxaOrig="760" w:dyaOrig="320" w14:anchorId="794ECF96">
                      <v:shape id="_x0000_i1030" type="#_x0000_t75" style="width:36pt;height:15.75pt" o:ole="">
                        <v:imagedata r:id="rId19" o:title=""/>
                      </v:shape>
                      <o:OLEObject Type="Embed" ProgID="Equation.3" ShapeID="_x0000_i1030" DrawAspect="Content" ObjectID="_1623686790" r:id="rId20"/>
                    </w:object>
                  </w:r>
                  <w:r w:rsidR="00C41112" w:rsidRPr="00882E6F">
                    <w:rPr>
                      <w:rFonts w:cs="Arial"/>
                      <w:sz w:val="16"/>
                      <w:szCs w:val="16"/>
                    </w:rPr>
                    <w:t xml:space="preserve">    </w:t>
                  </w:r>
                </w:p>
              </w:tc>
              <w:tc>
                <w:tcPr>
                  <w:tcW w:w="9002" w:type="dxa"/>
                  <w:vAlign w:val="center"/>
                </w:tcPr>
                <w:p w14:paraId="2EB7676C" w14:textId="2237BC5B" w:rsidR="00C41112" w:rsidRPr="00882E6F" w:rsidRDefault="00035381" w:rsidP="00882E6F">
                  <w:pPr>
                    <w:ind w:right="110"/>
                    <w:rPr>
                      <w:rFonts w:cs="Arial"/>
                      <w:sz w:val="16"/>
                      <w:szCs w:val="16"/>
                    </w:rPr>
                  </w:pPr>
                  <w:r>
                    <w:rPr>
                      <w:rFonts w:cs="Arial"/>
                      <w:sz w:val="16"/>
                      <w:szCs w:val="16"/>
                    </w:rPr>
                    <w:t>Gasto anual</w:t>
                  </w:r>
                  <w:r w:rsidR="00C41112" w:rsidRPr="00882E6F">
                    <w:rPr>
                      <w:rFonts w:cs="Arial"/>
                      <w:sz w:val="16"/>
                      <w:szCs w:val="16"/>
                    </w:rPr>
                    <w:t xml:space="preserve"> del FAETA en la entidad </w:t>
                  </w:r>
                  <w:r w:rsidR="00C41112" w:rsidRPr="00882E6F">
                    <w:rPr>
                      <w:rFonts w:cs="Arial"/>
                      <w:position w:val="-4"/>
                      <w:sz w:val="16"/>
                      <w:szCs w:val="16"/>
                    </w:rPr>
                    <w:object w:dxaOrig="120" w:dyaOrig="200" w14:anchorId="5F7EB82F">
                      <v:shape id="_x0000_i1031" type="#_x0000_t75" style="width:6.75pt;height:10.5pt" o:ole="">
                        <v:imagedata r:id="rId17" o:title=""/>
                      </v:shape>
                      <o:OLEObject Type="Embed" ProgID="Equation.3" ShapeID="_x0000_i1031" DrawAspect="Content" ObjectID="_1623686791" r:id="rId21"/>
                    </w:object>
                  </w:r>
                  <w:r w:rsidR="00C41112" w:rsidRPr="00882E6F">
                    <w:rPr>
                      <w:rFonts w:cs="Arial"/>
                      <w:sz w:val="16"/>
                      <w:szCs w:val="16"/>
                    </w:rPr>
                    <w:t>.</w:t>
                  </w:r>
                </w:p>
              </w:tc>
            </w:tr>
            <w:tr w:rsidR="00C41112" w:rsidRPr="00882E6F" w14:paraId="315C4882" w14:textId="77777777" w:rsidTr="00882E6F">
              <w:tc>
                <w:tcPr>
                  <w:tcW w:w="900" w:type="dxa"/>
                  <w:tcMar>
                    <w:left w:w="28" w:type="dxa"/>
                    <w:right w:w="28" w:type="dxa"/>
                  </w:tcMar>
                </w:tcPr>
                <w:p w14:paraId="2E79170E" w14:textId="3835736C" w:rsidR="00C41112" w:rsidRPr="00882E6F" w:rsidRDefault="00464FB2" w:rsidP="00C41112">
                  <w:pPr>
                    <w:rPr>
                      <w:rFonts w:cs="Arial"/>
                      <w:sz w:val="16"/>
                      <w:szCs w:val="16"/>
                    </w:rPr>
                  </w:pPr>
                  <w:r w:rsidRPr="004B295A">
                    <w:rPr>
                      <w:rFonts w:cs="Arial"/>
                      <w:position w:val="-12"/>
                      <w:sz w:val="16"/>
                      <w:szCs w:val="16"/>
                    </w:rPr>
                    <w:object w:dxaOrig="620" w:dyaOrig="360" w14:anchorId="1B6CC54F">
                      <v:shape id="_x0000_i1032" type="#_x0000_t75" style="width:31.5pt;height:18pt" o:ole="">
                        <v:imagedata r:id="rId22" o:title=""/>
                      </v:shape>
                      <o:OLEObject Type="Embed" ProgID="Equation.3" ShapeID="_x0000_i1032" DrawAspect="Content" ObjectID="_1623686792" r:id="rId23"/>
                    </w:object>
                  </w:r>
                  <w:r w:rsidR="00C41112" w:rsidRPr="00882E6F">
                    <w:rPr>
                      <w:rFonts w:cs="Arial"/>
                      <w:sz w:val="16"/>
                      <w:szCs w:val="16"/>
                    </w:rPr>
                    <w:t xml:space="preserve"> </w:t>
                  </w:r>
                </w:p>
              </w:tc>
              <w:tc>
                <w:tcPr>
                  <w:tcW w:w="9002" w:type="dxa"/>
                  <w:vAlign w:val="center"/>
                </w:tcPr>
                <w:p w14:paraId="76763F03" w14:textId="1EF69368" w:rsidR="00FD277A" w:rsidRPr="00882E6F" w:rsidRDefault="00C41112" w:rsidP="00035381">
                  <w:pPr>
                    <w:ind w:right="110"/>
                    <w:rPr>
                      <w:rFonts w:cs="Arial"/>
                      <w:sz w:val="16"/>
                      <w:szCs w:val="16"/>
                    </w:rPr>
                  </w:pPr>
                  <w:r w:rsidRPr="00882E6F">
                    <w:rPr>
                      <w:rFonts w:cs="Arial"/>
                      <w:sz w:val="16"/>
                      <w:szCs w:val="16"/>
                    </w:rPr>
                    <w:t xml:space="preserve">Gasto anual en infraestructura educativa del FAM en la entidad </w:t>
                  </w:r>
                  <w:r w:rsidRPr="00882E6F">
                    <w:rPr>
                      <w:rFonts w:cs="Arial"/>
                      <w:position w:val="-4"/>
                      <w:sz w:val="16"/>
                      <w:szCs w:val="16"/>
                    </w:rPr>
                    <w:object w:dxaOrig="120" w:dyaOrig="200" w14:anchorId="36DA2032">
                      <v:shape id="_x0000_i1033" type="#_x0000_t75" style="width:6.75pt;height:10.5pt" o:ole="">
                        <v:imagedata r:id="rId17" o:title=""/>
                      </v:shape>
                      <o:OLEObject Type="Embed" ProgID="Equation.3" ShapeID="_x0000_i1033" DrawAspect="Content" ObjectID="_1623686793" r:id="rId24"/>
                    </w:object>
                  </w:r>
                  <w:r w:rsidRPr="00882E6F">
                    <w:rPr>
                      <w:rFonts w:cs="Arial"/>
                      <w:sz w:val="16"/>
                      <w:szCs w:val="16"/>
                    </w:rPr>
                    <w:t>.</w:t>
                  </w:r>
                </w:p>
              </w:tc>
            </w:tr>
          </w:tbl>
          <w:p w14:paraId="3C5664CA" w14:textId="652BA2A6" w:rsidR="00BC4F70" w:rsidRPr="00D804F7" w:rsidRDefault="00BC4F70" w:rsidP="001157E0">
            <w:pPr>
              <w:ind w:left="900" w:hanging="900"/>
              <w:rPr>
                <w:rFonts w:cs="Arial"/>
                <w:b/>
                <w:sz w:val="16"/>
                <w:szCs w:val="16"/>
              </w:rPr>
            </w:pPr>
          </w:p>
        </w:tc>
      </w:tr>
      <w:tr w:rsidR="00BC4F70" w:rsidRPr="00D804F7" w14:paraId="4A00733C" w14:textId="77777777" w:rsidTr="00DB21D4">
        <w:trPr>
          <w:trHeight w:val="386"/>
        </w:trPr>
        <w:tc>
          <w:tcPr>
            <w:tcW w:w="10260" w:type="dxa"/>
            <w:vMerge/>
            <w:tcBorders>
              <w:top w:val="single" w:sz="4" w:space="0" w:color="auto"/>
              <w:bottom w:val="single" w:sz="4" w:space="0" w:color="auto"/>
              <w:right w:val="single" w:sz="4" w:space="0" w:color="auto"/>
            </w:tcBorders>
            <w:shd w:val="clear" w:color="auto" w:fill="auto"/>
          </w:tcPr>
          <w:p w14:paraId="23A347A6" w14:textId="77777777" w:rsidR="00BC4F70" w:rsidRPr="00D804F7" w:rsidRDefault="00BC4F70" w:rsidP="00C21904">
            <w:pPr>
              <w:ind w:right="-70"/>
              <w:rPr>
                <w:rFonts w:cs="Arial"/>
                <w:sz w:val="16"/>
                <w:szCs w:val="16"/>
              </w:rPr>
            </w:pPr>
          </w:p>
        </w:tc>
      </w:tr>
      <w:tr w:rsidR="00BC4F70" w:rsidRPr="0026312F" w14:paraId="1574DCDD" w14:textId="77777777" w:rsidTr="00DB21D4">
        <w:trPr>
          <w:trHeight w:val="1338"/>
        </w:trPr>
        <w:tc>
          <w:tcPr>
            <w:tcW w:w="10260" w:type="dxa"/>
            <w:tcBorders>
              <w:top w:val="single" w:sz="4" w:space="0" w:color="auto"/>
              <w:left w:val="single" w:sz="4" w:space="0" w:color="auto"/>
              <w:bottom w:val="single" w:sz="4" w:space="0" w:color="auto"/>
              <w:right w:val="single" w:sz="4" w:space="0" w:color="auto"/>
            </w:tcBorders>
            <w:shd w:val="clear" w:color="auto" w:fill="auto"/>
            <w:vAlign w:val="center"/>
          </w:tcPr>
          <w:p w14:paraId="0E51AD07" w14:textId="77777777" w:rsidR="00BC4F70" w:rsidRPr="00D804F7" w:rsidRDefault="00BC4F70" w:rsidP="00C21904">
            <w:pPr>
              <w:jc w:val="both"/>
              <w:rPr>
                <w:rFonts w:cs="Arial"/>
                <w:b/>
                <w:sz w:val="16"/>
                <w:szCs w:val="16"/>
              </w:rPr>
            </w:pPr>
            <w:r w:rsidRPr="00D804F7">
              <w:rPr>
                <w:rFonts w:cs="Arial"/>
                <w:b/>
                <w:sz w:val="16"/>
                <w:szCs w:val="16"/>
              </w:rPr>
              <w:t>Interpretación</w:t>
            </w:r>
          </w:p>
          <w:p w14:paraId="6E678C0E" w14:textId="4EE8D024" w:rsidR="00CF1668" w:rsidRPr="00C41112" w:rsidRDefault="00FC19A9" w:rsidP="00724D5E">
            <w:pPr>
              <w:jc w:val="both"/>
              <w:rPr>
                <w:rFonts w:cs="Arial"/>
                <w:sz w:val="16"/>
                <w:szCs w:val="16"/>
                <w:lang w:val="es-MX"/>
              </w:rPr>
            </w:pPr>
            <w:r>
              <w:rPr>
                <w:rFonts w:cs="Arial"/>
                <w:sz w:val="16"/>
                <w:szCs w:val="16"/>
                <w:lang w:val="es-MX"/>
              </w:rPr>
              <w:t>E</w:t>
            </w:r>
            <w:r w:rsidR="00323954">
              <w:rPr>
                <w:rFonts w:cs="Arial"/>
                <w:sz w:val="16"/>
                <w:szCs w:val="16"/>
                <w:lang w:val="es-MX"/>
              </w:rPr>
              <w:t>l GFDEO e</w:t>
            </w:r>
            <w:r>
              <w:rPr>
                <w:rFonts w:cs="Arial"/>
                <w:sz w:val="16"/>
                <w:szCs w:val="16"/>
                <w:lang w:val="es-MX"/>
              </w:rPr>
              <w:t>stá</w:t>
            </w:r>
            <w:r w:rsidR="00333BD0" w:rsidRPr="00333BD0">
              <w:rPr>
                <w:rFonts w:cs="Arial"/>
                <w:sz w:val="16"/>
                <w:szCs w:val="16"/>
                <w:lang w:val="es-MX"/>
              </w:rPr>
              <w:t xml:space="preserve"> </w:t>
            </w:r>
            <w:r w:rsidR="00333BD0" w:rsidRPr="00323954">
              <w:rPr>
                <w:rFonts w:cs="Arial"/>
                <w:sz w:val="16"/>
                <w:szCs w:val="16"/>
                <w:lang w:val="es-MX"/>
              </w:rPr>
              <w:t>integra</w:t>
            </w:r>
            <w:r w:rsidRPr="00323954">
              <w:rPr>
                <w:rFonts w:cs="Arial"/>
                <w:sz w:val="16"/>
                <w:szCs w:val="16"/>
                <w:lang w:val="es-MX"/>
              </w:rPr>
              <w:t xml:space="preserve">do por </w:t>
            </w:r>
            <w:r w:rsidR="00333BD0" w:rsidRPr="00323954">
              <w:rPr>
                <w:rFonts w:cs="Arial"/>
                <w:sz w:val="16"/>
                <w:szCs w:val="16"/>
                <w:lang w:val="es-MX"/>
              </w:rPr>
              <w:t>los recursos de los programas de gasto federalizado</w:t>
            </w:r>
            <w:r w:rsidR="00413B63" w:rsidRPr="00323954">
              <w:rPr>
                <w:rFonts w:cs="Arial"/>
                <w:sz w:val="16"/>
                <w:szCs w:val="16"/>
                <w:lang w:val="es-MX"/>
              </w:rPr>
              <w:t xml:space="preserve"> para educación obligatoria</w:t>
            </w:r>
            <w:r w:rsidR="00333BD0" w:rsidRPr="00323954">
              <w:rPr>
                <w:rFonts w:cs="Arial"/>
                <w:sz w:val="16"/>
                <w:szCs w:val="16"/>
                <w:lang w:val="es-MX"/>
              </w:rPr>
              <w:t>: FAETA, FAM y FONE.</w:t>
            </w:r>
            <w:r w:rsidR="00333BD0" w:rsidRPr="002E052F">
              <w:rPr>
                <w:rFonts w:cs="Arial"/>
                <w:sz w:val="16"/>
                <w:szCs w:val="16"/>
                <w:lang w:val="es-MX"/>
              </w:rPr>
              <w:t xml:space="preserve"> E</w:t>
            </w:r>
            <w:r w:rsidR="00323954" w:rsidRPr="002E052F">
              <w:rPr>
                <w:rFonts w:cs="Arial"/>
                <w:sz w:val="16"/>
                <w:szCs w:val="16"/>
                <w:lang w:val="es-MX"/>
              </w:rPr>
              <w:t xml:space="preserve">l antecedente del actual FONE es el </w:t>
            </w:r>
            <w:r w:rsidR="00323954" w:rsidRPr="00640688">
              <w:rPr>
                <w:rFonts w:cs="Arial"/>
                <w:sz w:val="16"/>
                <w:szCs w:val="16"/>
              </w:rPr>
              <w:t xml:space="preserve">FAEB, cuyo origen se basa </w:t>
            </w:r>
            <w:r w:rsidR="00323954" w:rsidRPr="00323954">
              <w:rPr>
                <w:rFonts w:cs="Arial"/>
                <w:sz w:val="16"/>
                <w:szCs w:val="16"/>
                <w:lang w:val="es-MX"/>
              </w:rPr>
              <w:t>e</w:t>
            </w:r>
            <w:r w:rsidR="00333BD0" w:rsidRPr="00323954">
              <w:rPr>
                <w:rFonts w:cs="Arial"/>
                <w:sz w:val="16"/>
                <w:szCs w:val="16"/>
                <w:lang w:val="es-MX"/>
              </w:rPr>
              <w:t xml:space="preserve">n </w:t>
            </w:r>
            <w:r w:rsidR="00333BD0" w:rsidRPr="00FB5B44">
              <w:rPr>
                <w:rFonts w:cs="Arial"/>
                <w:sz w:val="16"/>
                <w:szCs w:val="16"/>
                <w:lang w:val="es-MX"/>
              </w:rPr>
              <w:t>el Acuerdo Nacional para la Modernización de la Educación Básica (ANMEB</w:t>
            </w:r>
            <w:r w:rsidR="00333BD0" w:rsidRPr="00323954">
              <w:rPr>
                <w:rFonts w:cs="Arial"/>
                <w:sz w:val="16"/>
                <w:szCs w:val="16"/>
                <w:lang w:val="es-MX"/>
              </w:rPr>
              <w:t>) de 1992, cuando un año después de suscribir este acuerdo se creó el</w:t>
            </w:r>
            <w:r w:rsidR="00333BD0" w:rsidRPr="00333BD0">
              <w:rPr>
                <w:rFonts w:cs="Arial"/>
                <w:sz w:val="16"/>
                <w:szCs w:val="16"/>
                <w:lang w:val="es-MX"/>
              </w:rPr>
              <w:t xml:space="preserve"> </w:t>
            </w:r>
            <w:r w:rsidR="006312A7">
              <w:rPr>
                <w:rFonts w:cs="Arial"/>
                <w:sz w:val="16"/>
                <w:szCs w:val="16"/>
                <w:lang w:val="es-MX"/>
              </w:rPr>
              <w:t>R</w:t>
            </w:r>
            <w:r w:rsidR="00333BD0" w:rsidRPr="00333BD0">
              <w:rPr>
                <w:rFonts w:cs="Arial"/>
                <w:sz w:val="16"/>
                <w:szCs w:val="16"/>
                <w:lang w:val="es-MX"/>
              </w:rPr>
              <w:t xml:space="preserve">amo 25 Aportaciones para la Educación Básica en los Estados, mediante el cual se transferirían a las entidades federativas los recursos definidos en los acuerdos de descentralización del sector educativo, en los </w:t>
            </w:r>
            <w:r w:rsidR="005430C6">
              <w:rPr>
                <w:rFonts w:cs="Arial"/>
                <w:sz w:val="16"/>
                <w:szCs w:val="16"/>
                <w:lang w:val="es-MX"/>
              </w:rPr>
              <w:t>que</w:t>
            </w:r>
            <w:r w:rsidR="00333BD0" w:rsidRPr="00333BD0">
              <w:rPr>
                <w:rFonts w:cs="Arial"/>
                <w:sz w:val="16"/>
                <w:szCs w:val="16"/>
                <w:lang w:val="es-MX"/>
              </w:rPr>
              <w:t xml:space="preserve"> se estableció, entre otros aspectos, que los gobiernos estatales asumirían la responsabilidad de los centros educativos en los niveles de educación básica y de formación docente, antes b</w:t>
            </w:r>
            <w:r w:rsidR="00333BD0">
              <w:rPr>
                <w:rFonts w:cs="Arial"/>
                <w:sz w:val="16"/>
                <w:szCs w:val="16"/>
                <w:lang w:val="es-MX"/>
              </w:rPr>
              <w:t xml:space="preserve">ajo control de la </w:t>
            </w:r>
            <w:r w:rsidR="00333BD0" w:rsidRPr="00176983">
              <w:rPr>
                <w:rFonts w:cs="Arial"/>
                <w:sz w:val="16"/>
                <w:szCs w:val="16"/>
                <w:lang w:val="es-MX"/>
              </w:rPr>
              <w:t>federación</w:t>
            </w:r>
            <w:r w:rsidR="005430C6" w:rsidRPr="00176983">
              <w:rPr>
                <w:rFonts w:cs="Arial"/>
                <w:sz w:val="16"/>
                <w:szCs w:val="16"/>
                <w:lang w:val="es-MX"/>
              </w:rPr>
              <w:t>.</w:t>
            </w:r>
            <w:r w:rsidR="00440E32" w:rsidRPr="00176983">
              <w:rPr>
                <w:rFonts w:cs="Arial"/>
                <w:sz w:val="16"/>
                <w:szCs w:val="16"/>
                <w:vertAlign w:val="superscript"/>
                <w:lang w:val="es-MX"/>
              </w:rPr>
              <w:t>2</w:t>
            </w:r>
            <w:r w:rsidR="00333BD0" w:rsidRPr="00176983">
              <w:rPr>
                <w:rFonts w:cs="Arial"/>
                <w:sz w:val="16"/>
                <w:szCs w:val="16"/>
                <w:lang w:val="es-MX"/>
              </w:rPr>
              <w:t xml:space="preserve"> </w:t>
            </w:r>
            <w:r w:rsidR="005430C6" w:rsidRPr="00176983">
              <w:rPr>
                <w:rFonts w:cs="Arial"/>
                <w:sz w:val="16"/>
                <w:szCs w:val="16"/>
                <w:lang w:val="es-MX"/>
              </w:rPr>
              <w:t>C</w:t>
            </w:r>
            <w:r w:rsidR="00333BD0" w:rsidRPr="00176983">
              <w:rPr>
                <w:rFonts w:cs="Arial"/>
                <w:sz w:val="16"/>
                <w:szCs w:val="16"/>
                <w:lang w:val="es-MX"/>
              </w:rPr>
              <w:t>uatro</w:t>
            </w:r>
            <w:r w:rsidR="00333BD0" w:rsidRPr="00333BD0">
              <w:rPr>
                <w:rFonts w:cs="Arial"/>
                <w:sz w:val="16"/>
                <w:szCs w:val="16"/>
                <w:lang w:val="es-MX"/>
              </w:rPr>
              <w:t xml:space="preserve"> años más tarde se creó el </w:t>
            </w:r>
            <w:r w:rsidR="00BE5BC7" w:rsidRPr="00BE5BC7">
              <w:rPr>
                <w:rFonts w:cs="Arial"/>
                <w:sz w:val="16"/>
                <w:szCs w:val="16"/>
                <w:lang w:val="es-MX"/>
              </w:rPr>
              <w:t>FAEB</w:t>
            </w:r>
            <w:r w:rsidR="00333BD0" w:rsidRPr="00333BD0">
              <w:rPr>
                <w:rFonts w:cs="Arial"/>
                <w:sz w:val="16"/>
                <w:szCs w:val="16"/>
                <w:lang w:val="es-MX"/>
              </w:rPr>
              <w:t xml:space="preserve"> </w:t>
            </w:r>
            <w:r w:rsidR="00333BD0">
              <w:rPr>
                <w:rFonts w:cs="Arial"/>
                <w:sz w:val="16"/>
                <w:szCs w:val="16"/>
                <w:lang w:val="es-MX"/>
              </w:rPr>
              <w:t>y</w:t>
            </w:r>
            <w:r w:rsidR="00333BD0" w:rsidRPr="00333BD0">
              <w:rPr>
                <w:rFonts w:cs="Arial"/>
                <w:sz w:val="16"/>
                <w:szCs w:val="16"/>
                <w:lang w:val="es-MX"/>
              </w:rPr>
              <w:t xml:space="preserve"> en la LCF quedaron plasmados los elementos para determinar el monto anual de dicho fondo en </w:t>
            </w:r>
            <w:r w:rsidR="00333BD0" w:rsidRPr="00176983">
              <w:rPr>
                <w:rFonts w:cs="Arial"/>
                <w:sz w:val="16"/>
                <w:szCs w:val="16"/>
                <w:lang w:val="es-MX"/>
              </w:rPr>
              <w:t xml:space="preserve">el Presupuesto de Egresos de la Federación (PEF); </w:t>
            </w:r>
            <w:r w:rsidR="00724D5E" w:rsidRPr="00176983">
              <w:rPr>
                <w:rFonts w:cs="Arial"/>
                <w:sz w:val="16"/>
                <w:szCs w:val="16"/>
                <w:lang w:val="es-MX"/>
              </w:rPr>
              <w:t>una década</w:t>
            </w:r>
            <w:r w:rsidR="00333BD0" w:rsidRPr="00176983">
              <w:rPr>
                <w:rFonts w:cs="Arial"/>
                <w:sz w:val="16"/>
                <w:szCs w:val="16"/>
                <w:lang w:val="es-MX"/>
              </w:rPr>
              <w:t xml:space="preserve"> después se hizo expl</w:t>
            </w:r>
            <w:r w:rsidR="00724D5E" w:rsidRPr="00176983">
              <w:rPr>
                <w:rFonts w:cs="Arial"/>
                <w:sz w:val="16"/>
                <w:szCs w:val="16"/>
                <w:lang w:val="es-MX"/>
              </w:rPr>
              <w:t>í</w:t>
            </w:r>
            <w:r w:rsidR="00333BD0" w:rsidRPr="00176983">
              <w:rPr>
                <w:rFonts w:cs="Arial"/>
                <w:sz w:val="16"/>
                <w:szCs w:val="16"/>
                <w:lang w:val="es-MX"/>
              </w:rPr>
              <w:t>cita una fórmula para la distribución del incremento del FAEB entre las entidades federativas</w:t>
            </w:r>
            <w:r w:rsidR="00323954" w:rsidRPr="00176983">
              <w:rPr>
                <w:rFonts w:cs="Arial"/>
                <w:sz w:val="16"/>
                <w:szCs w:val="16"/>
                <w:lang w:val="es-MX"/>
              </w:rPr>
              <w:t>. C</w:t>
            </w:r>
            <w:r w:rsidR="00BE5BC7" w:rsidRPr="00176983">
              <w:rPr>
                <w:rFonts w:cs="Arial"/>
                <w:sz w:val="16"/>
                <w:szCs w:val="16"/>
                <w:lang w:val="es-MX"/>
              </w:rPr>
              <w:t>on la transición</w:t>
            </w:r>
            <w:r w:rsidR="00BE5BC7">
              <w:rPr>
                <w:rFonts w:cs="Arial"/>
                <w:sz w:val="16"/>
                <w:szCs w:val="16"/>
                <w:lang w:val="es-MX"/>
              </w:rPr>
              <w:t xml:space="preserve"> del FAEB al FONE </w:t>
            </w:r>
            <w:r w:rsidR="00E34B22">
              <w:rPr>
                <w:rFonts w:cs="Arial"/>
                <w:sz w:val="16"/>
                <w:szCs w:val="16"/>
                <w:lang w:val="es-MX"/>
              </w:rPr>
              <w:t>en 2015 dicha fórmula</w:t>
            </w:r>
            <w:r w:rsidR="00413B63">
              <w:rPr>
                <w:rFonts w:cs="Arial"/>
                <w:sz w:val="16"/>
                <w:szCs w:val="16"/>
                <w:lang w:val="es-MX"/>
              </w:rPr>
              <w:t xml:space="preserve"> fue derogada y se estableció una nueva regla de distribución.</w:t>
            </w:r>
          </w:p>
        </w:tc>
      </w:tr>
      <w:tr w:rsidR="00BC4F70" w:rsidRPr="0026312F" w14:paraId="002E1DD7" w14:textId="77777777" w:rsidTr="00DB21D4">
        <w:trPr>
          <w:trHeight w:val="659"/>
        </w:trPr>
        <w:tc>
          <w:tcPr>
            <w:tcW w:w="10260" w:type="dxa"/>
            <w:tcBorders>
              <w:top w:val="single" w:sz="4" w:space="0" w:color="auto"/>
              <w:left w:val="single" w:sz="4" w:space="0" w:color="auto"/>
              <w:bottom w:val="single" w:sz="4" w:space="0" w:color="auto"/>
              <w:right w:val="single" w:sz="4" w:space="0" w:color="auto"/>
            </w:tcBorders>
            <w:shd w:val="clear" w:color="auto" w:fill="auto"/>
          </w:tcPr>
          <w:p w14:paraId="3F49D3CA" w14:textId="77777777" w:rsidR="00BC4F70" w:rsidRPr="00D804F7" w:rsidRDefault="00BC4F70" w:rsidP="00C21904">
            <w:pPr>
              <w:jc w:val="both"/>
              <w:rPr>
                <w:rFonts w:cs="Arial"/>
                <w:b/>
                <w:sz w:val="16"/>
                <w:szCs w:val="16"/>
              </w:rPr>
            </w:pPr>
            <w:r w:rsidRPr="00D804F7">
              <w:rPr>
                <w:rFonts w:cs="Arial"/>
                <w:b/>
                <w:sz w:val="16"/>
                <w:szCs w:val="16"/>
              </w:rPr>
              <w:t>Utilidad</w:t>
            </w:r>
          </w:p>
          <w:p w14:paraId="0E4ECD7E" w14:textId="70E24944" w:rsidR="00BC4F70" w:rsidRPr="001157E0" w:rsidRDefault="00C41112" w:rsidP="00803434">
            <w:pPr>
              <w:jc w:val="both"/>
              <w:rPr>
                <w:rFonts w:cs="Arial"/>
                <w:sz w:val="16"/>
                <w:szCs w:val="16"/>
                <w:lang w:val="es-MX"/>
              </w:rPr>
            </w:pPr>
            <w:r w:rsidRPr="00C41112">
              <w:rPr>
                <w:rFonts w:cs="Arial"/>
                <w:sz w:val="16"/>
                <w:szCs w:val="16"/>
              </w:rPr>
              <w:t>Muestra la distribución de las aportaciones feder</w:t>
            </w:r>
            <w:r w:rsidR="00CC3713">
              <w:rPr>
                <w:rFonts w:cs="Arial"/>
                <w:sz w:val="16"/>
                <w:szCs w:val="16"/>
              </w:rPr>
              <w:t xml:space="preserve">ales </w:t>
            </w:r>
            <w:r w:rsidR="005430C6">
              <w:rPr>
                <w:rFonts w:cs="Arial"/>
                <w:sz w:val="16"/>
                <w:szCs w:val="16"/>
              </w:rPr>
              <w:t>a las</w:t>
            </w:r>
            <w:r w:rsidR="00CC3713">
              <w:rPr>
                <w:rFonts w:cs="Arial"/>
                <w:sz w:val="16"/>
                <w:szCs w:val="16"/>
              </w:rPr>
              <w:t xml:space="preserve"> entidades</w:t>
            </w:r>
            <w:r w:rsidR="00E34B22">
              <w:rPr>
                <w:rFonts w:cs="Arial"/>
                <w:sz w:val="16"/>
                <w:szCs w:val="16"/>
              </w:rPr>
              <w:t xml:space="preserve"> en materia de educación obligatoria</w:t>
            </w:r>
            <w:r w:rsidRPr="00C41112">
              <w:rPr>
                <w:rFonts w:cs="Arial"/>
                <w:sz w:val="16"/>
                <w:szCs w:val="16"/>
              </w:rPr>
              <w:t xml:space="preserve"> y su evolución en el tiempo </w:t>
            </w:r>
            <w:r w:rsidR="00803434">
              <w:rPr>
                <w:rFonts w:cs="Arial"/>
                <w:sz w:val="16"/>
                <w:szCs w:val="16"/>
                <w:lang w:val="es-MX"/>
              </w:rPr>
              <w:t>en los años seleccionados</w:t>
            </w:r>
            <w:r w:rsidRPr="00C41112">
              <w:rPr>
                <w:rFonts w:cs="Arial"/>
                <w:sz w:val="16"/>
                <w:szCs w:val="16"/>
                <w:lang w:val="es-MX"/>
              </w:rPr>
              <w:t>.</w:t>
            </w:r>
          </w:p>
        </w:tc>
      </w:tr>
      <w:tr w:rsidR="00BC4F70" w:rsidRPr="0026312F" w14:paraId="3EF6BB66" w14:textId="77777777" w:rsidTr="00DB21D4">
        <w:trPr>
          <w:trHeight w:val="352"/>
        </w:trPr>
        <w:tc>
          <w:tcPr>
            <w:tcW w:w="10260" w:type="dxa"/>
            <w:tcBorders>
              <w:top w:val="single" w:sz="4" w:space="0" w:color="auto"/>
              <w:left w:val="single" w:sz="4" w:space="0" w:color="auto"/>
              <w:bottom w:val="single" w:sz="4" w:space="0" w:color="auto"/>
              <w:right w:val="single" w:sz="4" w:space="0" w:color="auto"/>
            </w:tcBorders>
            <w:shd w:val="clear" w:color="auto" w:fill="auto"/>
          </w:tcPr>
          <w:p w14:paraId="043B6407" w14:textId="77777777" w:rsidR="00BC4F70" w:rsidRDefault="00BC4F70" w:rsidP="00C21904">
            <w:pPr>
              <w:jc w:val="both"/>
              <w:rPr>
                <w:rFonts w:cs="Arial"/>
                <w:b/>
                <w:sz w:val="16"/>
                <w:szCs w:val="16"/>
              </w:rPr>
            </w:pPr>
            <w:r w:rsidRPr="00FD19CE">
              <w:rPr>
                <w:rFonts w:cs="Arial"/>
                <w:b/>
                <w:sz w:val="16"/>
                <w:szCs w:val="16"/>
              </w:rPr>
              <w:t>O</w:t>
            </w:r>
            <w:r w:rsidR="003420F6">
              <w:rPr>
                <w:rFonts w:cs="Arial"/>
                <w:b/>
                <w:sz w:val="16"/>
                <w:szCs w:val="16"/>
              </w:rPr>
              <w:t>frece elementos para evaluar la</w:t>
            </w:r>
            <w:r w:rsidRPr="00FD19CE">
              <w:rPr>
                <w:rFonts w:cs="Arial"/>
                <w:b/>
                <w:sz w:val="16"/>
                <w:szCs w:val="16"/>
              </w:rPr>
              <w:t xml:space="preserve"> siguiente dimensi</w:t>
            </w:r>
            <w:r w:rsidR="003420F6">
              <w:rPr>
                <w:rFonts w:cs="Arial"/>
                <w:b/>
                <w:sz w:val="16"/>
                <w:szCs w:val="16"/>
              </w:rPr>
              <w:t>ón</w:t>
            </w:r>
            <w:r w:rsidRPr="00FD19CE">
              <w:rPr>
                <w:rFonts w:cs="Arial"/>
                <w:b/>
                <w:sz w:val="16"/>
                <w:szCs w:val="16"/>
              </w:rPr>
              <w:t xml:space="preserve"> de </w:t>
            </w:r>
            <w:r w:rsidR="005F17B1">
              <w:rPr>
                <w:rFonts w:cs="Arial"/>
                <w:b/>
                <w:sz w:val="16"/>
                <w:szCs w:val="16"/>
              </w:rPr>
              <w:t xml:space="preserve">la </w:t>
            </w:r>
            <w:r w:rsidRPr="00FD19CE">
              <w:rPr>
                <w:rFonts w:cs="Arial"/>
                <w:b/>
                <w:sz w:val="16"/>
                <w:szCs w:val="16"/>
              </w:rPr>
              <w:t>calidad educativa</w:t>
            </w:r>
          </w:p>
          <w:p w14:paraId="75790661" w14:textId="03ED524A" w:rsidR="00BC4F70" w:rsidRPr="00FD19CE" w:rsidRDefault="00C52030" w:rsidP="00C21904">
            <w:pPr>
              <w:jc w:val="both"/>
              <w:rPr>
                <w:rFonts w:cs="Arial"/>
                <w:b/>
                <w:sz w:val="16"/>
                <w:szCs w:val="16"/>
              </w:rPr>
            </w:pPr>
            <w:r>
              <w:rPr>
                <w:rFonts w:cs="Arial"/>
                <w:sz w:val="16"/>
                <w:szCs w:val="16"/>
              </w:rPr>
              <w:t>Eficiencia</w:t>
            </w:r>
          </w:p>
        </w:tc>
      </w:tr>
      <w:tr w:rsidR="00BC4F70" w:rsidRPr="0026312F" w14:paraId="05A0B2AC" w14:textId="77777777" w:rsidTr="00DB21D4">
        <w:trPr>
          <w:trHeight w:val="1489"/>
        </w:trPr>
        <w:tc>
          <w:tcPr>
            <w:tcW w:w="10260" w:type="dxa"/>
            <w:tcBorders>
              <w:top w:val="single" w:sz="4" w:space="0" w:color="auto"/>
              <w:left w:val="single" w:sz="4" w:space="0" w:color="auto"/>
              <w:bottom w:val="single" w:sz="4" w:space="0" w:color="auto"/>
              <w:right w:val="single" w:sz="4" w:space="0" w:color="auto"/>
            </w:tcBorders>
            <w:shd w:val="clear" w:color="auto" w:fill="auto"/>
          </w:tcPr>
          <w:p w14:paraId="1A800B01" w14:textId="77777777" w:rsidR="008A215D" w:rsidRDefault="00BC4F70" w:rsidP="0077752E">
            <w:pPr>
              <w:rPr>
                <w:rFonts w:cs="Arial"/>
                <w:b/>
                <w:sz w:val="16"/>
                <w:szCs w:val="16"/>
              </w:rPr>
            </w:pPr>
            <w:r w:rsidRPr="00D804F7">
              <w:rPr>
                <w:rFonts w:cs="Arial"/>
                <w:b/>
                <w:sz w:val="16"/>
                <w:szCs w:val="16"/>
              </w:rPr>
              <w:t>Desagregación</w:t>
            </w:r>
          </w:p>
          <w:p w14:paraId="3D32DBC3" w14:textId="7E7186EC" w:rsidR="00C41112" w:rsidRDefault="001840EE" w:rsidP="0077752E">
            <w:pPr>
              <w:rPr>
                <w:rFonts w:cs="Arial"/>
                <w:sz w:val="16"/>
                <w:szCs w:val="16"/>
              </w:rPr>
            </w:pPr>
            <w:r>
              <w:rPr>
                <w:rFonts w:cs="Arial"/>
                <w:sz w:val="16"/>
                <w:szCs w:val="16"/>
              </w:rPr>
              <w:t>Tipo de programa presupuestario, d</w:t>
            </w:r>
            <w:r w:rsidR="007D710D">
              <w:rPr>
                <w:rFonts w:cs="Arial"/>
                <w:sz w:val="16"/>
                <w:szCs w:val="16"/>
              </w:rPr>
              <w:t>estino, fondo y tipo de gasto</w:t>
            </w:r>
          </w:p>
          <w:p w14:paraId="6D1A43A2" w14:textId="77777777" w:rsidR="001A05BE" w:rsidRDefault="001A05BE" w:rsidP="0077752E">
            <w:pPr>
              <w:rPr>
                <w:rFonts w:cs="Arial"/>
                <w:sz w:val="16"/>
                <w:szCs w:val="16"/>
              </w:rPr>
            </w:pPr>
          </w:p>
          <w:p w14:paraId="1B02BCCA" w14:textId="752EF870" w:rsidR="001A05BE" w:rsidRDefault="001A05BE" w:rsidP="00226A4A">
            <w:pPr>
              <w:rPr>
                <w:rFonts w:cs="Arial"/>
                <w:sz w:val="16"/>
                <w:szCs w:val="16"/>
              </w:rPr>
            </w:pPr>
            <w:r w:rsidRPr="00FB5B44">
              <w:rPr>
                <w:rFonts w:cs="Arial"/>
                <w:b/>
                <w:sz w:val="16"/>
                <w:szCs w:val="16"/>
              </w:rPr>
              <w:t xml:space="preserve">Máximo </w:t>
            </w:r>
            <w:r w:rsidRPr="007C1B40">
              <w:rPr>
                <w:rFonts w:cs="Arial"/>
                <w:b/>
                <w:sz w:val="16"/>
                <w:szCs w:val="16"/>
              </w:rPr>
              <w:t>nivel de desagregación</w:t>
            </w:r>
            <w:r w:rsidR="00226A4A" w:rsidRPr="007C1B40">
              <w:rPr>
                <w:rFonts w:cs="Arial"/>
                <w:sz w:val="16"/>
                <w:szCs w:val="16"/>
              </w:rPr>
              <w:t>: e</w:t>
            </w:r>
            <w:r w:rsidRPr="007C1B40">
              <w:rPr>
                <w:rFonts w:cs="Arial"/>
                <w:sz w:val="16"/>
                <w:szCs w:val="16"/>
              </w:rPr>
              <w:t>ntidad</w:t>
            </w:r>
            <w:r>
              <w:rPr>
                <w:rFonts w:cs="Arial"/>
                <w:sz w:val="16"/>
                <w:szCs w:val="16"/>
              </w:rPr>
              <w:t xml:space="preserve"> federativa</w:t>
            </w:r>
          </w:p>
          <w:p w14:paraId="05346A92" w14:textId="77777777" w:rsidR="001A05BE" w:rsidRDefault="001A05BE" w:rsidP="0077752E">
            <w:pPr>
              <w:rPr>
                <w:rFonts w:cs="Arial"/>
                <w:sz w:val="16"/>
                <w:szCs w:val="16"/>
              </w:rPr>
            </w:pPr>
          </w:p>
          <w:p w14:paraId="63259CBB" w14:textId="77777777" w:rsidR="00BC4F70" w:rsidRPr="00EF3ADC" w:rsidRDefault="00BC4F70" w:rsidP="00EF3ADC">
            <w:pPr>
              <w:rPr>
                <w:rFonts w:cs="Arial"/>
                <w:b/>
                <w:sz w:val="16"/>
                <w:szCs w:val="16"/>
              </w:rPr>
            </w:pPr>
            <w:r w:rsidRPr="00EF3ADC">
              <w:rPr>
                <w:rFonts w:cs="Arial"/>
                <w:b/>
                <w:sz w:val="16"/>
                <w:szCs w:val="16"/>
              </w:rPr>
              <w:t>Fuente</w:t>
            </w:r>
            <w:r w:rsidR="00AF6651" w:rsidRPr="00EF3ADC">
              <w:rPr>
                <w:rFonts w:cs="Arial"/>
                <w:b/>
                <w:sz w:val="16"/>
                <w:szCs w:val="16"/>
              </w:rPr>
              <w:t>s</w:t>
            </w:r>
            <w:r w:rsidR="003420F6" w:rsidRPr="00EF3ADC">
              <w:rPr>
                <w:rFonts w:cs="Arial"/>
                <w:b/>
                <w:sz w:val="16"/>
                <w:szCs w:val="16"/>
              </w:rPr>
              <w:t xml:space="preserve"> de información</w:t>
            </w:r>
          </w:p>
          <w:p w14:paraId="3CF6A69E" w14:textId="681F0108" w:rsidR="008B5172" w:rsidRPr="00916039" w:rsidRDefault="008B5172" w:rsidP="00B61E2C">
            <w:pPr>
              <w:ind w:right="-70"/>
              <w:jc w:val="both"/>
              <w:rPr>
                <w:rFonts w:cs="Arial"/>
                <w:sz w:val="16"/>
                <w:szCs w:val="16"/>
              </w:rPr>
            </w:pPr>
            <w:r w:rsidRPr="00176983">
              <w:rPr>
                <w:rFonts w:cs="Arial"/>
                <w:caps/>
                <w:sz w:val="16"/>
                <w:szCs w:val="16"/>
                <w:lang w:val="es-MX"/>
              </w:rPr>
              <w:t>Inegi</w:t>
            </w:r>
            <w:r w:rsidR="00035381" w:rsidRPr="00CA61B2">
              <w:rPr>
                <w:rFonts w:cs="Arial"/>
                <w:sz w:val="16"/>
                <w:szCs w:val="16"/>
                <w:lang w:val="es-MX"/>
              </w:rPr>
              <w:t xml:space="preserve"> (201</w:t>
            </w:r>
            <w:r w:rsidR="008E076C">
              <w:rPr>
                <w:rFonts w:cs="Arial"/>
                <w:sz w:val="16"/>
                <w:szCs w:val="16"/>
                <w:lang w:val="es-MX"/>
              </w:rPr>
              <w:t>8</w:t>
            </w:r>
            <w:r w:rsidR="00B421D1">
              <w:rPr>
                <w:rFonts w:cs="Arial"/>
                <w:sz w:val="16"/>
                <w:szCs w:val="16"/>
                <w:lang w:val="es-MX"/>
              </w:rPr>
              <w:t>b</w:t>
            </w:r>
            <w:r w:rsidRPr="005B4325">
              <w:rPr>
                <w:rFonts w:cs="Arial"/>
                <w:sz w:val="16"/>
                <w:szCs w:val="16"/>
                <w:lang w:val="es-MX"/>
              </w:rPr>
              <w:t xml:space="preserve">). </w:t>
            </w:r>
            <w:r w:rsidR="00D82BDE" w:rsidRPr="005B4325">
              <w:rPr>
                <w:rFonts w:cs="Arial"/>
                <w:sz w:val="16"/>
                <w:szCs w:val="16"/>
              </w:rPr>
              <w:t>Índice</w:t>
            </w:r>
            <w:r w:rsidRPr="005B4325">
              <w:rPr>
                <w:rFonts w:cs="Arial"/>
                <w:sz w:val="16"/>
                <w:szCs w:val="16"/>
              </w:rPr>
              <w:t xml:space="preserve"> </w:t>
            </w:r>
            <w:r w:rsidR="00414985">
              <w:rPr>
                <w:rFonts w:cs="Arial"/>
                <w:sz w:val="16"/>
                <w:szCs w:val="16"/>
              </w:rPr>
              <w:t xml:space="preserve">Nacional </w:t>
            </w:r>
            <w:r w:rsidRPr="005B4325">
              <w:rPr>
                <w:rFonts w:cs="Arial"/>
                <w:sz w:val="16"/>
                <w:szCs w:val="16"/>
              </w:rPr>
              <w:t>de Precio</w:t>
            </w:r>
            <w:r w:rsidR="00414985">
              <w:rPr>
                <w:rFonts w:cs="Arial"/>
                <w:sz w:val="16"/>
                <w:szCs w:val="16"/>
              </w:rPr>
              <w:t>s al Consumidor</w:t>
            </w:r>
            <w:r w:rsidR="00916039">
              <w:rPr>
                <w:rFonts w:cs="Arial"/>
                <w:sz w:val="16"/>
                <w:szCs w:val="16"/>
              </w:rPr>
              <w:t>.</w:t>
            </w:r>
            <w:r w:rsidRPr="00EC3766">
              <w:rPr>
                <w:rFonts w:cs="Arial"/>
                <w:sz w:val="16"/>
                <w:szCs w:val="16"/>
              </w:rPr>
              <w:t xml:space="preserve"> Base 201</w:t>
            </w:r>
            <w:r w:rsidR="008E076C">
              <w:rPr>
                <w:rFonts w:cs="Arial"/>
                <w:sz w:val="16"/>
                <w:szCs w:val="16"/>
              </w:rPr>
              <w:t>8</w:t>
            </w:r>
            <w:r w:rsidRPr="00916039">
              <w:rPr>
                <w:rFonts w:cs="Arial"/>
                <w:sz w:val="16"/>
                <w:szCs w:val="16"/>
              </w:rPr>
              <w:t>.</w:t>
            </w:r>
          </w:p>
          <w:p w14:paraId="60106A6F" w14:textId="2E9C02F3" w:rsidR="00472735" w:rsidRPr="00916039" w:rsidRDefault="00472735" w:rsidP="00472735">
            <w:pPr>
              <w:ind w:right="-70"/>
              <w:jc w:val="both"/>
              <w:rPr>
                <w:rFonts w:cs="Arial"/>
                <w:sz w:val="16"/>
                <w:szCs w:val="16"/>
              </w:rPr>
            </w:pPr>
            <w:r w:rsidRPr="00916039">
              <w:rPr>
                <w:rFonts w:cs="Arial"/>
                <w:sz w:val="16"/>
                <w:szCs w:val="16"/>
              </w:rPr>
              <w:t>SHCP (</w:t>
            </w:r>
            <w:r w:rsidRPr="00CA61B2">
              <w:rPr>
                <w:rFonts w:cs="Arial"/>
                <w:sz w:val="16"/>
                <w:szCs w:val="16"/>
              </w:rPr>
              <w:t>201</w:t>
            </w:r>
            <w:r w:rsidR="008E076C">
              <w:rPr>
                <w:rFonts w:cs="Arial"/>
                <w:sz w:val="16"/>
                <w:szCs w:val="16"/>
              </w:rPr>
              <w:t>8</w:t>
            </w:r>
            <w:r w:rsidRPr="005B4325">
              <w:rPr>
                <w:rFonts w:cs="Arial"/>
                <w:sz w:val="16"/>
                <w:szCs w:val="16"/>
              </w:rPr>
              <w:t>). Cuenta de la Hacienda Pública Federal 2008-201</w:t>
            </w:r>
            <w:r w:rsidR="008E076C">
              <w:rPr>
                <w:rFonts w:cs="Arial"/>
                <w:sz w:val="16"/>
                <w:szCs w:val="16"/>
              </w:rPr>
              <w:t>7</w:t>
            </w:r>
            <w:r w:rsidRPr="00916039">
              <w:rPr>
                <w:rFonts w:cs="Arial"/>
                <w:sz w:val="16"/>
                <w:szCs w:val="16"/>
              </w:rPr>
              <w:t>.</w:t>
            </w:r>
          </w:p>
          <w:p w14:paraId="64CA9DE3" w14:textId="77777777" w:rsidR="00B61E2C" w:rsidRPr="00CA61B2" w:rsidRDefault="00B61E2C" w:rsidP="00B61E2C">
            <w:pPr>
              <w:ind w:right="-70"/>
              <w:jc w:val="both"/>
              <w:rPr>
                <w:rFonts w:cs="Arial"/>
                <w:sz w:val="16"/>
                <w:szCs w:val="16"/>
              </w:rPr>
            </w:pPr>
          </w:p>
          <w:p w14:paraId="59E9A80B" w14:textId="77777777" w:rsidR="00C41112" w:rsidRPr="00AA27E9" w:rsidRDefault="004B33F1" w:rsidP="00C41112">
            <w:pPr>
              <w:ind w:right="-70"/>
              <w:jc w:val="both"/>
              <w:rPr>
                <w:rFonts w:cs="Arial"/>
                <w:b/>
                <w:bCs/>
                <w:iCs/>
                <w:sz w:val="16"/>
                <w:szCs w:val="16"/>
              </w:rPr>
            </w:pPr>
            <w:r>
              <w:rPr>
                <w:rFonts w:cs="Arial"/>
                <w:b/>
                <w:bCs/>
                <w:iCs/>
                <w:sz w:val="16"/>
                <w:szCs w:val="16"/>
              </w:rPr>
              <w:t>Nota</w:t>
            </w:r>
            <w:r w:rsidR="00AF6651">
              <w:rPr>
                <w:rFonts w:cs="Arial"/>
                <w:b/>
                <w:bCs/>
                <w:iCs/>
                <w:sz w:val="16"/>
                <w:szCs w:val="16"/>
              </w:rPr>
              <w:t>s</w:t>
            </w:r>
          </w:p>
          <w:p w14:paraId="4F0301D7" w14:textId="5405EC5A" w:rsidR="00EC3766" w:rsidRPr="00EC3766" w:rsidRDefault="00EC3766" w:rsidP="00EC3766">
            <w:pPr>
              <w:ind w:right="-70"/>
              <w:jc w:val="both"/>
              <w:rPr>
                <w:rFonts w:cs="Arial"/>
                <w:iCs/>
                <w:sz w:val="12"/>
                <w:szCs w:val="12"/>
              </w:rPr>
            </w:pPr>
            <w:r w:rsidRPr="00EC3766">
              <w:rPr>
                <w:rFonts w:cs="Arial"/>
                <w:iCs/>
                <w:sz w:val="12"/>
                <w:szCs w:val="12"/>
                <w:vertAlign w:val="superscript"/>
              </w:rPr>
              <w:t>1</w:t>
            </w:r>
            <w:r w:rsidRPr="00EC3766">
              <w:rPr>
                <w:rFonts w:cs="Arial"/>
                <w:iCs/>
                <w:sz w:val="12"/>
                <w:szCs w:val="12"/>
              </w:rPr>
              <w:t xml:space="preserve">Desde 2015 el FONE se determina en el PEF a partir de cuatro elementos: las plazas registradas por concepto de remuneraciones (sueldos, prestaciones, impuestos federales y aportaciones a la seguridad social), las ampliaciones presupuestarias por incrementos salariales durante el ejercicio fiscal, la creación de plazas en términos </w:t>
            </w:r>
            <w:r w:rsidRPr="00176983">
              <w:rPr>
                <w:rFonts w:cs="Arial"/>
                <w:iCs/>
                <w:sz w:val="12"/>
                <w:szCs w:val="12"/>
              </w:rPr>
              <w:t>de la LGSPD</w:t>
            </w:r>
            <w:r w:rsidR="007C1B40" w:rsidRPr="00176983">
              <w:rPr>
                <w:rFonts w:cs="Arial"/>
                <w:iCs/>
                <w:sz w:val="12"/>
                <w:szCs w:val="12"/>
              </w:rPr>
              <w:t xml:space="preserve"> (DOF, 2013, 11 de septiembre)</w:t>
            </w:r>
            <w:r w:rsidRPr="00176983">
              <w:rPr>
                <w:rFonts w:cs="Arial"/>
                <w:iCs/>
                <w:sz w:val="12"/>
                <w:szCs w:val="12"/>
              </w:rPr>
              <w:t xml:space="preserve"> y</w:t>
            </w:r>
            <w:r w:rsidRPr="00EC3766">
              <w:rPr>
                <w:rFonts w:cs="Arial"/>
                <w:iCs/>
                <w:sz w:val="12"/>
                <w:szCs w:val="12"/>
              </w:rPr>
              <w:t xml:space="preserve"> los gastos de operación; este último se distribuye entre las entidades federativas y la asignación a cada una de éstas se determina por el gasto de operación presupuestado en 2013 más una proporción del incremento de monto total del gasto de operación del FONE, determinada por el porcentaje de población entre 5 y 14 años en la entidad respecto de dicha población a nivel nacional (LCF, art. 27, 201</w:t>
            </w:r>
            <w:r w:rsidR="00270259">
              <w:rPr>
                <w:rFonts w:cs="Arial"/>
                <w:iCs/>
                <w:sz w:val="12"/>
                <w:szCs w:val="12"/>
              </w:rPr>
              <w:t>8</w:t>
            </w:r>
            <w:r w:rsidRPr="00EC3766">
              <w:rPr>
                <w:rFonts w:cs="Arial"/>
                <w:iCs/>
                <w:sz w:val="12"/>
                <w:szCs w:val="12"/>
              </w:rPr>
              <w:t xml:space="preserve">, </w:t>
            </w:r>
            <w:r w:rsidR="00270259">
              <w:rPr>
                <w:rFonts w:cs="Arial"/>
                <w:iCs/>
                <w:sz w:val="12"/>
                <w:szCs w:val="12"/>
              </w:rPr>
              <w:t>30</w:t>
            </w:r>
            <w:r w:rsidR="00270259" w:rsidRPr="00EC3766">
              <w:rPr>
                <w:rFonts w:cs="Arial"/>
                <w:iCs/>
                <w:sz w:val="12"/>
                <w:szCs w:val="12"/>
              </w:rPr>
              <w:t xml:space="preserve"> </w:t>
            </w:r>
            <w:r w:rsidRPr="00EC3766">
              <w:rPr>
                <w:rFonts w:cs="Arial"/>
                <w:iCs/>
                <w:sz w:val="12"/>
                <w:szCs w:val="12"/>
              </w:rPr>
              <w:t xml:space="preserve">de </w:t>
            </w:r>
            <w:r w:rsidR="00270259">
              <w:rPr>
                <w:rFonts w:cs="Arial"/>
                <w:iCs/>
                <w:sz w:val="12"/>
                <w:szCs w:val="12"/>
              </w:rPr>
              <w:t>enero</w:t>
            </w:r>
            <w:r w:rsidRPr="002E052F">
              <w:rPr>
                <w:rFonts w:cs="Arial"/>
                <w:iCs/>
                <w:sz w:val="12"/>
                <w:szCs w:val="12"/>
              </w:rPr>
              <w:t xml:space="preserve">). </w:t>
            </w:r>
            <w:r w:rsidRPr="00640688">
              <w:rPr>
                <w:rFonts w:cs="Arial"/>
                <w:iCs/>
                <w:sz w:val="12"/>
                <w:szCs w:val="12"/>
              </w:rPr>
              <w:t>En</w:t>
            </w:r>
            <w:r w:rsidRPr="002E052F">
              <w:rPr>
                <w:rFonts w:cs="Arial"/>
                <w:iCs/>
                <w:sz w:val="12"/>
                <w:szCs w:val="12"/>
              </w:rPr>
              <w:t xml:space="preserve"> el caso del FAE</w:t>
            </w:r>
            <w:r w:rsidR="002E052F" w:rsidRPr="002E052F">
              <w:rPr>
                <w:rFonts w:cs="Arial"/>
                <w:iCs/>
                <w:sz w:val="12"/>
                <w:szCs w:val="12"/>
              </w:rPr>
              <w:t>T</w:t>
            </w:r>
            <w:r w:rsidRPr="002E052F">
              <w:rPr>
                <w:rFonts w:cs="Arial"/>
                <w:iCs/>
                <w:sz w:val="12"/>
                <w:szCs w:val="12"/>
              </w:rPr>
              <w:t>A, por norma los recursos se determinan a partir del registro de planteles, instalaciones y personal</w:t>
            </w:r>
            <w:r w:rsidR="002E052F" w:rsidRPr="002E052F">
              <w:rPr>
                <w:rFonts w:cs="Arial"/>
                <w:iCs/>
                <w:sz w:val="12"/>
                <w:szCs w:val="12"/>
              </w:rPr>
              <w:t>,</w:t>
            </w:r>
            <w:r w:rsidRPr="002E052F">
              <w:rPr>
                <w:rFonts w:cs="Arial"/>
                <w:iCs/>
                <w:sz w:val="12"/>
                <w:szCs w:val="12"/>
              </w:rPr>
              <w:t xml:space="preserve"> </w:t>
            </w:r>
            <w:r w:rsidRPr="00640688">
              <w:rPr>
                <w:rFonts w:cs="Arial"/>
                <w:iCs/>
                <w:sz w:val="12"/>
                <w:szCs w:val="12"/>
              </w:rPr>
              <w:t>establecido</w:t>
            </w:r>
            <w:r w:rsidRPr="002E052F">
              <w:rPr>
                <w:rFonts w:cs="Arial"/>
                <w:iCs/>
                <w:sz w:val="12"/>
                <w:szCs w:val="12"/>
              </w:rPr>
              <w:t xml:space="preserve"> en convenios entre la federación y cada una de las entidades federativas, así como por ampliaciones presupuestarias por concepto de servicios personales y gastos de operación. La parte de</w:t>
            </w:r>
            <w:r w:rsidRPr="00EC3766">
              <w:rPr>
                <w:rFonts w:cs="Arial"/>
                <w:iCs/>
                <w:sz w:val="12"/>
                <w:szCs w:val="12"/>
              </w:rPr>
              <w:t xml:space="preserve"> este fondo destinada para la prestación de servicios de educación para adultos se distribuye entre las entidades federativas de acuerdo con una fórmula que pública la SEP (a más tardar el 31 de enero de cada año) y considera elementos que tratan de compensar el rezago educativo, el nivel de marginación, el desempeño académico, la eficiencia operativa y la aportación de recursos estatales (LCF, art</w:t>
            </w:r>
            <w:r w:rsidR="00B461EB">
              <w:rPr>
                <w:rFonts w:cs="Arial"/>
                <w:iCs/>
                <w:sz w:val="12"/>
                <w:szCs w:val="12"/>
              </w:rPr>
              <w:t>s</w:t>
            </w:r>
            <w:r w:rsidRPr="00EC3766">
              <w:rPr>
                <w:rFonts w:cs="Arial"/>
                <w:iCs/>
                <w:sz w:val="12"/>
                <w:szCs w:val="12"/>
              </w:rPr>
              <w:t xml:space="preserve">. </w:t>
            </w:r>
            <w:r w:rsidR="002D3E54">
              <w:rPr>
                <w:rFonts w:cs="Arial"/>
                <w:iCs/>
                <w:sz w:val="12"/>
                <w:szCs w:val="12"/>
              </w:rPr>
              <w:t xml:space="preserve">42 y </w:t>
            </w:r>
            <w:r w:rsidRPr="00EC3766">
              <w:rPr>
                <w:rFonts w:cs="Arial"/>
                <w:iCs/>
                <w:sz w:val="12"/>
                <w:szCs w:val="12"/>
              </w:rPr>
              <w:t xml:space="preserve">43, </w:t>
            </w:r>
            <w:r w:rsidR="002D3E54" w:rsidRPr="00EC3766">
              <w:rPr>
                <w:rFonts w:cs="Arial"/>
                <w:iCs/>
                <w:sz w:val="12"/>
                <w:szCs w:val="12"/>
              </w:rPr>
              <w:t>201</w:t>
            </w:r>
            <w:r w:rsidR="002D3E54">
              <w:rPr>
                <w:rFonts w:cs="Arial"/>
                <w:iCs/>
                <w:sz w:val="12"/>
                <w:szCs w:val="12"/>
              </w:rPr>
              <w:t>8</w:t>
            </w:r>
            <w:r w:rsidR="00B461EB">
              <w:rPr>
                <w:rFonts w:cs="Arial"/>
                <w:iCs/>
                <w:sz w:val="12"/>
                <w:szCs w:val="12"/>
              </w:rPr>
              <w:t>, 30 de enero</w:t>
            </w:r>
            <w:r w:rsidRPr="00EC3766">
              <w:rPr>
                <w:rFonts w:cs="Arial"/>
                <w:iCs/>
                <w:sz w:val="12"/>
                <w:szCs w:val="12"/>
              </w:rPr>
              <w:t>; Aviso, DOF, 201</w:t>
            </w:r>
            <w:r w:rsidR="002D3E54">
              <w:rPr>
                <w:rFonts w:cs="Arial"/>
                <w:iCs/>
                <w:sz w:val="12"/>
                <w:szCs w:val="12"/>
              </w:rPr>
              <w:t>7</w:t>
            </w:r>
            <w:r w:rsidRPr="00EC3766">
              <w:rPr>
                <w:rFonts w:cs="Arial"/>
                <w:iCs/>
                <w:sz w:val="12"/>
                <w:szCs w:val="12"/>
              </w:rPr>
              <w:t xml:space="preserve">, </w:t>
            </w:r>
            <w:r w:rsidR="002D3E54">
              <w:rPr>
                <w:rFonts w:cs="Arial"/>
                <w:iCs/>
                <w:sz w:val="12"/>
                <w:szCs w:val="12"/>
              </w:rPr>
              <w:t>31</w:t>
            </w:r>
            <w:r w:rsidR="002D3E54" w:rsidRPr="00EC3766">
              <w:rPr>
                <w:rFonts w:cs="Arial"/>
                <w:iCs/>
                <w:sz w:val="12"/>
                <w:szCs w:val="12"/>
              </w:rPr>
              <w:t xml:space="preserve"> </w:t>
            </w:r>
            <w:r w:rsidRPr="00EC3766">
              <w:rPr>
                <w:rFonts w:cs="Arial"/>
                <w:iCs/>
                <w:sz w:val="12"/>
                <w:szCs w:val="12"/>
              </w:rPr>
              <w:t xml:space="preserve">de </w:t>
            </w:r>
            <w:r w:rsidR="002D3E54">
              <w:rPr>
                <w:rFonts w:cs="Arial"/>
                <w:iCs/>
                <w:sz w:val="12"/>
                <w:szCs w:val="12"/>
              </w:rPr>
              <w:t>enero</w:t>
            </w:r>
            <w:r w:rsidRPr="00EC3766">
              <w:rPr>
                <w:rFonts w:cs="Arial"/>
                <w:iCs/>
                <w:sz w:val="12"/>
                <w:szCs w:val="12"/>
              </w:rPr>
              <w:t>). Respecto al FAM, la distribución de los recursos entre las entidades federativas se realiza a través de fórmulas que publica la SEP (a más tardar el 31 de enero de cada año); hay una fórmula para cada componente educativo de este fondo (educación básica, educación media superior y educación superior). Una parte del componente para atender la infraestructura educativa de tipo básico se distribuye mediante ponderadores de coeficientes asociados a la matrícula de educación básica y educación especial (0.425), la población de 6 a 14 años de edad que no asiste a la escuela (0.25), el crecimiento de la población de 5 a 14 años de edad (0.075) y el grado de marginación (0.25); la otra parte de este componente se asigna mediante un coeficiente de migración. Los recursos para infraestructura educativa de tipo medio superior se distribuyen entre las entidades federativas de acuerdo con el tamaño de la matrícula escolarizada de sostenimiento estatal registrada al inicio del último ciclo escolar, tanto en los servicios y organismos estatales como de aquellos prestados por las universidades públicas autónomas (Aviso, DOF, 201</w:t>
            </w:r>
            <w:r w:rsidR="00D04EE1">
              <w:rPr>
                <w:rFonts w:cs="Arial"/>
                <w:iCs/>
                <w:sz w:val="12"/>
                <w:szCs w:val="12"/>
              </w:rPr>
              <w:t>7</w:t>
            </w:r>
            <w:r w:rsidRPr="00EC3766">
              <w:rPr>
                <w:rFonts w:cs="Arial"/>
                <w:iCs/>
                <w:sz w:val="12"/>
                <w:szCs w:val="12"/>
              </w:rPr>
              <w:t xml:space="preserve">, </w:t>
            </w:r>
            <w:r w:rsidR="00D04EE1">
              <w:rPr>
                <w:rFonts w:cs="Arial"/>
                <w:iCs/>
                <w:sz w:val="12"/>
                <w:szCs w:val="12"/>
              </w:rPr>
              <w:t>30</w:t>
            </w:r>
            <w:r w:rsidR="00D04EE1" w:rsidRPr="00EC3766">
              <w:rPr>
                <w:rFonts w:cs="Arial"/>
                <w:iCs/>
                <w:sz w:val="12"/>
                <w:szCs w:val="12"/>
              </w:rPr>
              <w:t xml:space="preserve"> </w:t>
            </w:r>
            <w:r w:rsidRPr="00EC3766">
              <w:rPr>
                <w:rFonts w:cs="Arial"/>
                <w:iCs/>
                <w:sz w:val="12"/>
                <w:szCs w:val="12"/>
              </w:rPr>
              <w:t xml:space="preserve">de </w:t>
            </w:r>
            <w:r w:rsidR="00D04EE1">
              <w:rPr>
                <w:rFonts w:cs="Arial"/>
                <w:iCs/>
                <w:sz w:val="12"/>
                <w:szCs w:val="12"/>
              </w:rPr>
              <w:t>enero</w:t>
            </w:r>
            <w:r w:rsidRPr="00EC3766">
              <w:rPr>
                <w:rFonts w:cs="Arial"/>
                <w:iCs/>
                <w:sz w:val="12"/>
                <w:szCs w:val="12"/>
              </w:rPr>
              <w:t>).</w:t>
            </w:r>
          </w:p>
          <w:p w14:paraId="09F76B38" w14:textId="20A806B5" w:rsidR="008B3940" w:rsidRDefault="00440E32" w:rsidP="008B3940">
            <w:pPr>
              <w:ind w:right="-70"/>
              <w:jc w:val="both"/>
              <w:rPr>
                <w:rFonts w:cs="Arial"/>
                <w:iCs/>
                <w:sz w:val="12"/>
                <w:szCs w:val="12"/>
              </w:rPr>
            </w:pPr>
            <w:r w:rsidRPr="00EC3766">
              <w:rPr>
                <w:rFonts w:cs="Arial"/>
                <w:iCs/>
                <w:sz w:val="12"/>
                <w:szCs w:val="12"/>
                <w:vertAlign w:val="superscript"/>
              </w:rPr>
              <w:t>2</w:t>
            </w:r>
            <w:r w:rsidRPr="00EC3766">
              <w:rPr>
                <w:rFonts w:cs="Arial"/>
                <w:iCs/>
                <w:sz w:val="12"/>
                <w:szCs w:val="12"/>
              </w:rPr>
              <w:t xml:space="preserve"> </w:t>
            </w:r>
            <w:r w:rsidR="008B3940">
              <w:rPr>
                <w:rFonts w:cs="Arial"/>
                <w:iCs/>
                <w:sz w:val="12"/>
                <w:szCs w:val="12"/>
              </w:rPr>
              <w:t>L</w:t>
            </w:r>
            <w:r w:rsidR="008B3940" w:rsidRPr="008B3940">
              <w:rPr>
                <w:rFonts w:cs="Arial"/>
                <w:iCs/>
                <w:sz w:val="12"/>
                <w:szCs w:val="12"/>
              </w:rPr>
              <w:t>os recursos de</w:t>
            </w:r>
            <w:r w:rsidR="003E71F7">
              <w:rPr>
                <w:rFonts w:cs="Arial"/>
                <w:iCs/>
                <w:sz w:val="12"/>
                <w:szCs w:val="12"/>
              </w:rPr>
              <w:t>l</w:t>
            </w:r>
            <w:r w:rsidR="008B3940" w:rsidRPr="008B3940">
              <w:rPr>
                <w:rFonts w:cs="Arial"/>
                <w:iCs/>
                <w:sz w:val="12"/>
                <w:szCs w:val="12"/>
              </w:rPr>
              <w:t xml:space="preserve"> </w:t>
            </w:r>
            <w:r w:rsidR="00F37A10">
              <w:rPr>
                <w:rFonts w:cs="Arial"/>
                <w:iCs/>
                <w:sz w:val="12"/>
                <w:szCs w:val="12"/>
              </w:rPr>
              <w:t>PF</w:t>
            </w:r>
            <w:r w:rsidR="008B3940" w:rsidRPr="008B3940">
              <w:rPr>
                <w:rFonts w:cs="Arial"/>
                <w:iCs/>
                <w:sz w:val="12"/>
                <w:szCs w:val="12"/>
              </w:rPr>
              <w:t xml:space="preserve"> 25E003 Servicios de educación básica en el D.F.</w:t>
            </w:r>
            <w:r w:rsidR="00F37A10">
              <w:rPr>
                <w:rFonts w:cs="Arial"/>
                <w:iCs/>
                <w:sz w:val="12"/>
                <w:szCs w:val="12"/>
              </w:rPr>
              <w:t>,</w:t>
            </w:r>
            <w:r w:rsidR="008B3940" w:rsidRPr="008B3940">
              <w:rPr>
                <w:rFonts w:cs="Arial"/>
                <w:iCs/>
                <w:sz w:val="12"/>
                <w:szCs w:val="12"/>
              </w:rPr>
              <w:t xml:space="preserve"> perteneciente al </w:t>
            </w:r>
            <w:r w:rsidR="006312A7">
              <w:rPr>
                <w:rFonts w:cs="Arial"/>
                <w:iCs/>
                <w:sz w:val="12"/>
                <w:szCs w:val="12"/>
              </w:rPr>
              <w:t>R</w:t>
            </w:r>
            <w:r w:rsidR="008B3940" w:rsidRPr="008B3940">
              <w:rPr>
                <w:rFonts w:cs="Arial"/>
                <w:iCs/>
                <w:sz w:val="12"/>
                <w:szCs w:val="12"/>
              </w:rPr>
              <w:t>amo 25 Previsiones y Aportaciones para los Sistemas de Educación Básica, Normal, Tecnológica y de Adultos</w:t>
            </w:r>
            <w:r w:rsidR="00F37A10">
              <w:rPr>
                <w:rFonts w:cs="Arial"/>
                <w:iCs/>
                <w:sz w:val="12"/>
                <w:szCs w:val="12"/>
              </w:rPr>
              <w:t>,</w:t>
            </w:r>
            <w:r w:rsidR="008B3940" w:rsidRPr="008B3940">
              <w:rPr>
                <w:rFonts w:cs="Arial"/>
                <w:iCs/>
                <w:sz w:val="12"/>
                <w:szCs w:val="12"/>
              </w:rPr>
              <w:t xml:space="preserve"> no están clasificados como gasto federalizado y, por lo tanto, no son estrictamente comparables con los recursos de los fondos del </w:t>
            </w:r>
            <w:r w:rsidR="006312A7">
              <w:rPr>
                <w:rFonts w:cs="Arial"/>
                <w:iCs/>
                <w:sz w:val="12"/>
                <w:szCs w:val="12"/>
              </w:rPr>
              <w:t>R</w:t>
            </w:r>
            <w:bookmarkStart w:id="0" w:name="_GoBack"/>
            <w:bookmarkEnd w:id="0"/>
            <w:r w:rsidR="008B3940" w:rsidRPr="008B3940">
              <w:rPr>
                <w:rFonts w:cs="Arial"/>
                <w:iCs/>
                <w:sz w:val="12"/>
                <w:szCs w:val="12"/>
              </w:rPr>
              <w:t xml:space="preserve">amo 33; sin embargo, debido a que en cierto modo estos </w:t>
            </w:r>
            <w:r w:rsidR="003444AE">
              <w:rPr>
                <w:rFonts w:cs="Arial"/>
                <w:iCs/>
                <w:sz w:val="12"/>
                <w:szCs w:val="12"/>
              </w:rPr>
              <w:t>recursos</w:t>
            </w:r>
            <w:r w:rsidR="008B3940" w:rsidRPr="008B3940">
              <w:rPr>
                <w:rFonts w:cs="Arial"/>
                <w:iCs/>
                <w:sz w:val="12"/>
                <w:szCs w:val="12"/>
              </w:rPr>
              <w:t xml:space="preserve"> son para </w:t>
            </w:r>
            <w:r w:rsidR="003444AE">
              <w:rPr>
                <w:rFonts w:cs="Arial"/>
                <w:iCs/>
                <w:sz w:val="12"/>
                <w:szCs w:val="12"/>
              </w:rPr>
              <w:t>la Ciudad de México</w:t>
            </w:r>
            <w:r w:rsidR="00226A4A">
              <w:rPr>
                <w:rFonts w:cs="Arial"/>
                <w:iCs/>
                <w:sz w:val="12"/>
                <w:szCs w:val="12"/>
              </w:rPr>
              <w:t xml:space="preserve"> </w:t>
            </w:r>
            <w:r w:rsidR="008B3940" w:rsidRPr="008B3940">
              <w:rPr>
                <w:rFonts w:cs="Arial"/>
                <w:iCs/>
                <w:sz w:val="12"/>
                <w:szCs w:val="12"/>
              </w:rPr>
              <w:t xml:space="preserve">lo que el FONE es para las entidades federativas, se cuantifican en el grupo de </w:t>
            </w:r>
            <w:r w:rsidR="00F37A10">
              <w:rPr>
                <w:rFonts w:cs="Arial"/>
                <w:iCs/>
                <w:sz w:val="12"/>
                <w:szCs w:val="12"/>
              </w:rPr>
              <w:t>PGF</w:t>
            </w:r>
            <w:r w:rsidR="008B3940" w:rsidRPr="008B3940">
              <w:rPr>
                <w:rFonts w:cs="Arial"/>
                <w:iCs/>
                <w:sz w:val="12"/>
                <w:szCs w:val="12"/>
              </w:rPr>
              <w:t>.</w:t>
            </w:r>
          </w:p>
          <w:p w14:paraId="23CCDF56" w14:textId="699CABFE" w:rsidR="006E4E28" w:rsidRPr="006E4E28" w:rsidRDefault="00440E32" w:rsidP="008B3940">
            <w:pPr>
              <w:ind w:right="-70"/>
              <w:jc w:val="both"/>
              <w:rPr>
                <w:rFonts w:cs="Arial"/>
                <w:sz w:val="12"/>
                <w:szCs w:val="12"/>
              </w:rPr>
            </w:pPr>
            <w:r>
              <w:rPr>
                <w:rFonts w:cs="Arial"/>
                <w:iCs/>
                <w:sz w:val="12"/>
                <w:szCs w:val="12"/>
                <w:vertAlign w:val="superscript"/>
              </w:rPr>
              <w:t>3</w:t>
            </w:r>
            <w:r w:rsidR="00087D1C">
              <w:rPr>
                <w:rFonts w:cs="Arial"/>
                <w:iCs/>
                <w:sz w:val="12"/>
                <w:szCs w:val="12"/>
              </w:rPr>
              <w:t xml:space="preserve"> </w:t>
            </w:r>
            <w:r w:rsidR="00E72188" w:rsidRPr="00E72188">
              <w:rPr>
                <w:rFonts w:cs="Arial"/>
                <w:iCs/>
                <w:sz w:val="12"/>
                <w:szCs w:val="12"/>
              </w:rPr>
              <w:t>Los valores nominales fueron deflactados por el promedio del INP</w:t>
            </w:r>
            <w:r w:rsidR="00414985">
              <w:rPr>
                <w:rFonts w:cs="Arial"/>
                <w:iCs/>
                <w:sz w:val="12"/>
                <w:szCs w:val="12"/>
              </w:rPr>
              <w:t>C</w:t>
            </w:r>
            <w:r w:rsidR="00E72188" w:rsidRPr="00E72188">
              <w:rPr>
                <w:rFonts w:cs="Arial"/>
                <w:iCs/>
                <w:sz w:val="12"/>
                <w:szCs w:val="12"/>
              </w:rPr>
              <w:t>. Se anualizó el INP</w:t>
            </w:r>
            <w:r w:rsidR="00414985">
              <w:rPr>
                <w:rFonts w:cs="Arial"/>
                <w:iCs/>
                <w:sz w:val="12"/>
                <w:szCs w:val="12"/>
              </w:rPr>
              <w:t>C</w:t>
            </w:r>
            <w:r w:rsidR="00E72188" w:rsidRPr="00E72188">
              <w:rPr>
                <w:rFonts w:cs="Arial"/>
                <w:iCs/>
                <w:sz w:val="12"/>
                <w:szCs w:val="12"/>
              </w:rPr>
              <w:t xml:space="preserve"> mensual y se tomó como referencia el promedio de</w:t>
            </w:r>
            <w:r w:rsidR="002A5689">
              <w:rPr>
                <w:rFonts w:cs="Arial"/>
                <w:iCs/>
                <w:sz w:val="12"/>
                <w:szCs w:val="12"/>
              </w:rPr>
              <w:t xml:space="preserve"> 2012</w:t>
            </w:r>
            <w:r w:rsidR="00E72188" w:rsidRPr="00E72188">
              <w:rPr>
                <w:rFonts w:cs="Arial"/>
                <w:iCs/>
                <w:sz w:val="12"/>
                <w:szCs w:val="12"/>
              </w:rPr>
              <w:t xml:space="preserve">. </w:t>
            </w:r>
          </w:p>
        </w:tc>
      </w:tr>
    </w:tbl>
    <w:p w14:paraId="5C6D3DBA" w14:textId="77777777" w:rsidR="006F2A1A" w:rsidRPr="00483F16" w:rsidRDefault="006F2A1A" w:rsidP="00640688">
      <w:pPr>
        <w:rPr>
          <w:rFonts w:cs="Arial"/>
        </w:rPr>
      </w:pPr>
    </w:p>
    <w:sectPr w:rsidR="006F2A1A" w:rsidRPr="00483F16" w:rsidSect="0082025A">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D3020" w14:textId="77777777" w:rsidR="00B82FB8" w:rsidRDefault="00B82FB8" w:rsidP="00333BD0">
      <w:r>
        <w:separator/>
      </w:r>
    </w:p>
  </w:endnote>
  <w:endnote w:type="continuationSeparator" w:id="0">
    <w:p w14:paraId="62B01650" w14:textId="77777777" w:rsidR="00B82FB8" w:rsidRDefault="00B82FB8" w:rsidP="00333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5B45A" w14:textId="77777777" w:rsidR="00B82FB8" w:rsidRDefault="00B82FB8" w:rsidP="00333BD0">
      <w:r>
        <w:separator/>
      </w:r>
    </w:p>
  </w:footnote>
  <w:footnote w:type="continuationSeparator" w:id="0">
    <w:p w14:paraId="0C27E646" w14:textId="77777777" w:rsidR="00B82FB8" w:rsidRDefault="00B82FB8" w:rsidP="00333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892A59"/>
    <w:multiLevelType w:val="hybridMultilevel"/>
    <w:tmpl w:val="B0842AAC"/>
    <w:lvl w:ilvl="0" w:tplc="F2D2FDEA">
      <w:start w:val="1"/>
      <w:numFmt w:val="decimal"/>
      <w:lvlText w:val="(%1)"/>
      <w:lvlJc w:val="left"/>
      <w:pPr>
        <w:tabs>
          <w:tab w:val="num" w:pos="720"/>
        </w:tabs>
        <w:ind w:left="720" w:hanging="360"/>
      </w:pPr>
      <w:rPr>
        <w:rFonts w:cs="Times New Roman" w:hint="default"/>
        <w:color w:val="auto"/>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674"/>
    <w:rsid w:val="000023B5"/>
    <w:rsid w:val="000039F0"/>
    <w:rsid w:val="000057C3"/>
    <w:rsid w:val="0001583C"/>
    <w:rsid w:val="00026151"/>
    <w:rsid w:val="00026360"/>
    <w:rsid w:val="00030F82"/>
    <w:rsid w:val="00032BEC"/>
    <w:rsid w:val="00034E61"/>
    <w:rsid w:val="00035381"/>
    <w:rsid w:val="00036C2B"/>
    <w:rsid w:val="00060BAB"/>
    <w:rsid w:val="00065CDB"/>
    <w:rsid w:val="0007565A"/>
    <w:rsid w:val="00075E73"/>
    <w:rsid w:val="00076562"/>
    <w:rsid w:val="00077AA9"/>
    <w:rsid w:val="00081796"/>
    <w:rsid w:val="0008726B"/>
    <w:rsid w:val="00087D1C"/>
    <w:rsid w:val="000A0D84"/>
    <w:rsid w:val="000B0B03"/>
    <w:rsid w:val="000B0BF0"/>
    <w:rsid w:val="000B4B53"/>
    <w:rsid w:val="000C3B8D"/>
    <w:rsid w:val="000D3910"/>
    <w:rsid w:val="000D4A29"/>
    <w:rsid w:val="000D6846"/>
    <w:rsid w:val="000E09F1"/>
    <w:rsid w:val="000E24A5"/>
    <w:rsid w:val="000F1174"/>
    <w:rsid w:val="000F552A"/>
    <w:rsid w:val="000F7767"/>
    <w:rsid w:val="001107C8"/>
    <w:rsid w:val="001137FD"/>
    <w:rsid w:val="001145FC"/>
    <w:rsid w:val="001157E0"/>
    <w:rsid w:val="00116755"/>
    <w:rsid w:val="00120220"/>
    <w:rsid w:val="00121953"/>
    <w:rsid w:val="00127AFE"/>
    <w:rsid w:val="00131E6B"/>
    <w:rsid w:val="00134A08"/>
    <w:rsid w:val="0013789B"/>
    <w:rsid w:val="00141439"/>
    <w:rsid w:val="00150062"/>
    <w:rsid w:val="00151AA7"/>
    <w:rsid w:val="00154497"/>
    <w:rsid w:val="00166CEF"/>
    <w:rsid w:val="00167428"/>
    <w:rsid w:val="00172B82"/>
    <w:rsid w:val="00176983"/>
    <w:rsid w:val="00183C30"/>
    <w:rsid w:val="001840EE"/>
    <w:rsid w:val="00190E28"/>
    <w:rsid w:val="001A05BE"/>
    <w:rsid w:val="001A129A"/>
    <w:rsid w:val="001A3C15"/>
    <w:rsid w:val="001B57E0"/>
    <w:rsid w:val="001C31DD"/>
    <w:rsid w:val="001C5561"/>
    <w:rsid w:val="001C67E5"/>
    <w:rsid w:val="001D403B"/>
    <w:rsid w:val="001D4737"/>
    <w:rsid w:val="001D5416"/>
    <w:rsid w:val="002065F7"/>
    <w:rsid w:val="0021124C"/>
    <w:rsid w:val="00214FA8"/>
    <w:rsid w:val="00220C8B"/>
    <w:rsid w:val="00222FB6"/>
    <w:rsid w:val="00226A4A"/>
    <w:rsid w:val="00232A8D"/>
    <w:rsid w:val="00236F80"/>
    <w:rsid w:val="002379DB"/>
    <w:rsid w:val="00240D80"/>
    <w:rsid w:val="00242743"/>
    <w:rsid w:val="00242B9E"/>
    <w:rsid w:val="002537A5"/>
    <w:rsid w:val="002622AD"/>
    <w:rsid w:val="002636D3"/>
    <w:rsid w:val="00270259"/>
    <w:rsid w:val="002705A2"/>
    <w:rsid w:val="00273D37"/>
    <w:rsid w:val="0028576D"/>
    <w:rsid w:val="0029652B"/>
    <w:rsid w:val="002A1547"/>
    <w:rsid w:val="002A5689"/>
    <w:rsid w:val="002A5B5A"/>
    <w:rsid w:val="002B1AB0"/>
    <w:rsid w:val="002D1033"/>
    <w:rsid w:val="002D3E54"/>
    <w:rsid w:val="002D6198"/>
    <w:rsid w:val="002E052F"/>
    <w:rsid w:val="002E376A"/>
    <w:rsid w:val="002E7636"/>
    <w:rsid w:val="00302445"/>
    <w:rsid w:val="00307E52"/>
    <w:rsid w:val="003214BB"/>
    <w:rsid w:val="00322E6D"/>
    <w:rsid w:val="00323954"/>
    <w:rsid w:val="00325532"/>
    <w:rsid w:val="003309F0"/>
    <w:rsid w:val="00333BD0"/>
    <w:rsid w:val="003420F6"/>
    <w:rsid w:val="0034401F"/>
    <w:rsid w:val="003444AE"/>
    <w:rsid w:val="0034513F"/>
    <w:rsid w:val="00363481"/>
    <w:rsid w:val="003705C1"/>
    <w:rsid w:val="00371217"/>
    <w:rsid w:val="00373DA9"/>
    <w:rsid w:val="00390A3F"/>
    <w:rsid w:val="00395E13"/>
    <w:rsid w:val="003A64EE"/>
    <w:rsid w:val="003B33D5"/>
    <w:rsid w:val="003B3DBD"/>
    <w:rsid w:val="003B705A"/>
    <w:rsid w:val="003C1F5C"/>
    <w:rsid w:val="003C2374"/>
    <w:rsid w:val="003C558D"/>
    <w:rsid w:val="003C590C"/>
    <w:rsid w:val="003C6188"/>
    <w:rsid w:val="003C7372"/>
    <w:rsid w:val="003D40CB"/>
    <w:rsid w:val="003E2BF2"/>
    <w:rsid w:val="003E2CE9"/>
    <w:rsid w:val="003E71F7"/>
    <w:rsid w:val="003F35E4"/>
    <w:rsid w:val="00403C84"/>
    <w:rsid w:val="004051CF"/>
    <w:rsid w:val="00411B35"/>
    <w:rsid w:val="00413B63"/>
    <w:rsid w:val="00414985"/>
    <w:rsid w:val="00416A95"/>
    <w:rsid w:val="004173FC"/>
    <w:rsid w:val="004215FF"/>
    <w:rsid w:val="00430548"/>
    <w:rsid w:val="00435609"/>
    <w:rsid w:val="00440E32"/>
    <w:rsid w:val="004428C6"/>
    <w:rsid w:val="0045253C"/>
    <w:rsid w:val="00460954"/>
    <w:rsid w:val="0046227E"/>
    <w:rsid w:val="00464FB2"/>
    <w:rsid w:val="00472735"/>
    <w:rsid w:val="0047620F"/>
    <w:rsid w:val="00477998"/>
    <w:rsid w:val="00477A6F"/>
    <w:rsid w:val="00481151"/>
    <w:rsid w:val="00483F16"/>
    <w:rsid w:val="00485D7E"/>
    <w:rsid w:val="004959C4"/>
    <w:rsid w:val="00497F3D"/>
    <w:rsid w:val="004A4BAC"/>
    <w:rsid w:val="004A6EEA"/>
    <w:rsid w:val="004B0779"/>
    <w:rsid w:val="004B295A"/>
    <w:rsid w:val="004B33F1"/>
    <w:rsid w:val="004B63D5"/>
    <w:rsid w:val="004B6548"/>
    <w:rsid w:val="004C455A"/>
    <w:rsid w:val="004C791F"/>
    <w:rsid w:val="004E6D08"/>
    <w:rsid w:val="004E7255"/>
    <w:rsid w:val="004E77EA"/>
    <w:rsid w:val="004F437C"/>
    <w:rsid w:val="004F583E"/>
    <w:rsid w:val="004F68EE"/>
    <w:rsid w:val="0050117C"/>
    <w:rsid w:val="005033B6"/>
    <w:rsid w:val="00507DB2"/>
    <w:rsid w:val="00513A52"/>
    <w:rsid w:val="00517317"/>
    <w:rsid w:val="00521365"/>
    <w:rsid w:val="00533AE9"/>
    <w:rsid w:val="005430C6"/>
    <w:rsid w:val="00546903"/>
    <w:rsid w:val="00552301"/>
    <w:rsid w:val="00552DDE"/>
    <w:rsid w:val="00554777"/>
    <w:rsid w:val="00555B76"/>
    <w:rsid w:val="00570777"/>
    <w:rsid w:val="00575645"/>
    <w:rsid w:val="00582E50"/>
    <w:rsid w:val="005833F0"/>
    <w:rsid w:val="00584538"/>
    <w:rsid w:val="00591F53"/>
    <w:rsid w:val="005A19DD"/>
    <w:rsid w:val="005A218F"/>
    <w:rsid w:val="005A3D4D"/>
    <w:rsid w:val="005A5E6A"/>
    <w:rsid w:val="005A5F68"/>
    <w:rsid w:val="005A672E"/>
    <w:rsid w:val="005B4325"/>
    <w:rsid w:val="005C2EC7"/>
    <w:rsid w:val="005C32BC"/>
    <w:rsid w:val="005C4C50"/>
    <w:rsid w:val="005D1735"/>
    <w:rsid w:val="005D2B35"/>
    <w:rsid w:val="005D361E"/>
    <w:rsid w:val="005E1AAB"/>
    <w:rsid w:val="005E38DA"/>
    <w:rsid w:val="005E4D43"/>
    <w:rsid w:val="005F17B1"/>
    <w:rsid w:val="00603E80"/>
    <w:rsid w:val="00606AF0"/>
    <w:rsid w:val="00611A61"/>
    <w:rsid w:val="0061294D"/>
    <w:rsid w:val="00613D5A"/>
    <w:rsid w:val="006230D0"/>
    <w:rsid w:val="00624FEA"/>
    <w:rsid w:val="00627DB4"/>
    <w:rsid w:val="006312A7"/>
    <w:rsid w:val="006327E1"/>
    <w:rsid w:val="00633DE0"/>
    <w:rsid w:val="006352E9"/>
    <w:rsid w:val="00640688"/>
    <w:rsid w:val="00642208"/>
    <w:rsid w:val="00642BDC"/>
    <w:rsid w:val="00655269"/>
    <w:rsid w:val="006570DA"/>
    <w:rsid w:val="0065722F"/>
    <w:rsid w:val="00660349"/>
    <w:rsid w:val="00667255"/>
    <w:rsid w:val="00672986"/>
    <w:rsid w:val="0068301B"/>
    <w:rsid w:val="006A0ECB"/>
    <w:rsid w:val="006A5898"/>
    <w:rsid w:val="006A5AA1"/>
    <w:rsid w:val="006B071C"/>
    <w:rsid w:val="006D6D6B"/>
    <w:rsid w:val="006E4E28"/>
    <w:rsid w:val="006E6419"/>
    <w:rsid w:val="006F1407"/>
    <w:rsid w:val="006F2A1A"/>
    <w:rsid w:val="00700325"/>
    <w:rsid w:val="007058FE"/>
    <w:rsid w:val="00720C90"/>
    <w:rsid w:val="00724D5E"/>
    <w:rsid w:val="00725C63"/>
    <w:rsid w:val="007350FF"/>
    <w:rsid w:val="007364C5"/>
    <w:rsid w:val="0074348B"/>
    <w:rsid w:val="00743B8C"/>
    <w:rsid w:val="007523DD"/>
    <w:rsid w:val="0075322F"/>
    <w:rsid w:val="00753F11"/>
    <w:rsid w:val="0075696A"/>
    <w:rsid w:val="00756D11"/>
    <w:rsid w:val="00771826"/>
    <w:rsid w:val="00773DA9"/>
    <w:rsid w:val="007756EC"/>
    <w:rsid w:val="0077752E"/>
    <w:rsid w:val="00780560"/>
    <w:rsid w:val="0078079A"/>
    <w:rsid w:val="00781ACE"/>
    <w:rsid w:val="007830BA"/>
    <w:rsid w:val="007915FD"/>
    <w:rsid w:val="007A3D77"/>
    <w:rsid w:val="007A4EB0"/>
    <w:rsid w:val="007C1B40"/>
    <w:rsid w:val="007C35D2"/>
    <w:rsid w:val="007C5739"/>
    <w:rsid w:val="007C6EB3"/>
    <w:rsid w:val="007D710D"/>
    <w:rsid w:val="007F2092"/>
    <w:rsid w:val="007F433D"/>
    <w:rsid w:val="00803434"/>
    <w:rsid w:val="008117AD"/>
    <w:rsid w:val="00812C03"/>
    <w:rsid w:val="00815238"/>
    <w:rsid w:val="0082025A"/>
    <w:rsid w:val="008259AE"/>
    <w:rsid w:val="008319B3"/>
    <w:rsid w:val="00831BDA"/>
    <w:rsid w:val="00833436"/>
    <w:rsid w:val="0084571F"/>
    <w:rsid w:val="008461ED"/>
    <w:rsid w:val="008534F7"/>
    <w:rsid w:val="00853694"/>
    <w:rsid w:val="0085555D"/>
    <w:rsid w:val="00856EF2"/>
    <w:rsid w:val="00861674"/>
    <w:rsid w:val="00866732"/>
    <w:rsid w:val="00874832"/>
    <w:rsid w:val="00875893"/>
    <w:rsid w:val="00882057"/>
    <w:rsid w:val="00882E6F"/>
    <w:rsid w:val="0089222A"/>
    <w:rsid w:val="008A215D"/>
    <w:rsid w:val="008A322B"/>
    <w:rsid w:val="008A6C8C"/>
    <w:rsid w:val="008B3940"/>
    <w:rsid w:val="008B5172"/>
    <w:rsid w:val="008C0DC3"/>
    <w:rsid w:val="008C14E8"/>
    <w:rsid w:val="008C30AE"/>
    <w:rsid w:val="008C63EA"/>
    <w:rsid w:val="008C70FA"/>
    <w:rsid w:val="008D2172"/>
    <w:rsid w:val="008D682C"/>
    <w:rsid w:val="008E076C"/>
    <w:rsid w:val="008E0EE7"/>
    <w:rsid w:val="008E3474"/>
    <w:rsid w:val="00903F4E"/>
    <w:rsid w:val="009048ED"/>
    <w:rsid w:val="009057BD"/>
    <w:rsid w:val="00911A78"/>
    <w:rsid w:val="00916039"/>
    <w:rsid w:val="00921D6B"/>
    <w:rsid w:val="00925667"/>
    <w:rsid w:val="009310B4"/>
    <w:rsid w:val="00940716"/>
    <w:rsid w:val="00942F58"/>
    <w:rsid w:val="00944924"/>
    <w:rsid w:val="00944A7C"/>
    <w:rsid w:val="0094578C"/>
    <w:rsid w:val="0094611C"/>
    <w:rsid w:val="009648CB"/>
    <w:rsid w:val="009803FD"/>
    <w:rsid w:val="009941F6"/>
    <w:rsid w:val="009A12C5"/>
    <w:rsid w:val="009A4D50"/>
    <w:rsid w:val="009B199E"/>
    <w:rsid w:val="009B397B"/>
    <w:rsid w:val="009B6EB1"/>
    <w:rsid w:val="009B7F68"/>
    <w:rsid w:val="009C6E87"/>
    <w:rsid w:val="009C7E18"/>
    <w:rsid w:val="009D066F"/>
    <w:rsid w:val="009D0A9A"/>
    <w:rsid w:val="009D39F1"/>
    <w:rsid w:val="009D6366"/>
    <w:rsid w:val="009E177B"/>
    <w:rsid w:val="009E6AFC"/>
    <w:rsid w:val="009F0600"/>
    <w:rsid w:val="009F38D8"/>
    <w:rsid w:val="009F7D5E"/>
    <w:rsid w:val="00A04F96"/>
    <w:rsid w:val="00A06EB6"/>
    <w:rsid w:val="00A14E58"/>
    <w:rsid w:val="00A17506"/>
    <w:rsid w:val="00A27AF2"/>
    <w:rsid w:val="00A3521E"/>
    <w:rsid w:val="00A45082"/>
    <w:rsid w:val="00A45B29"/>
    <w:rsid w:val="00A46F0A"/>
    <w:rsid w:val="00A62ED8"/>
    <w:rsid w:val="00A64061"/>
    <w:rsid w:val="00A67860"/>
    <w:rsid w:val="00A70AC0"/>
    <w:rsid w:val="00A77CC3"/>
    <w:rsid w:val="00A834F3"/>
    <w:rsid w:val="00A86C89"/>
    <w:rsid w:val="00A871B5"/>
    <w:rsid w:val="00A947BC"/>
    <w:rsid w:val="00A96101"/>
    <w:rsid w:val="00A969B9"/>
    <w:rsid w:val="00AA27E9"/>
    <w:rsid w:val="00AB7D03"/>
    <w:rsid w:val="00AC3395"/>
    <w:rsid w:val="00AF6651"/>
    <w:rsid w:val="00B061D3"/>
    <w:rsid w:val="00B17F61"/>
    <w:rsid w:val="00B27971"/>
    <w:rsid w:val="00B310A6"/>
    <w:rsid w:val="00B4146C"/>
    <w:rsid w:val="00B421D1"/>
    <w:rsid w:val="00B42B2A"/>
    <w:rsid w:val="00B42D31"/>
    <w:rsid w:val="00B461EB"/>
    <w:rsid w:val="00B55AD8"/>
    <w:rsid w:val="00B61E2C"/>
    <w:rsid w:val="00B73868"/>
    <w:rsid w:val="00B8075F"/>
    <w:rsid w:val="00B82FB8"/>
    <w:rsid w:val="00B84189"/>
    <w:rsid w:val="00B855D7"/>
    <w:rsid w:val="00B9040C"/>
    <w:rsid w:val="00B91751"/>
    <w:rsid w:val="00B918EE"/>
    <w:rsid w:val="00BA49ED"/>
    <w:rsid w:val="00BA6413"/>
    <w:rsid w:val="00BA6AF1"/>
    <w:rsid w:val="00BA6B99"/>
    <w:rsid w:val="00BB6B9F"/>
    <w:rsid w:val="00BC0188"/>
    <w:rsid w:val="00BC03B2"/>
    <w:rsid w:val="00BC3516"/>
    <w:rsid w:val="00BC3DC5"/>
    <w:rsid w:val="00BC4F70"/>
    <w:rsid w:val="00BC535B"/>
    <w:rsid w:val="00BD63C0"/>
    <w:rsid w:val="00BD731A"/>
    <w:rsid w:val="00BE2222"/>
    <w:rsid w:val="00BE5BC7"/>
    <w:rsid w:val="00BE5EF0"/>
    <w:rsid w:val="00C02AF5"/>
    <w:rsid w:val="00C04BEB"/>
    <w:rsid w:val="00C13573"/>
    <w:rsid w:val="00C17976"/>
    <w:rsid w:val="00C21904"/>
    <w:rsid w:val="00C360DB"/>
    <w:rsid w:val="00C372F4"/>
    <w:rsid w:val="00C41112"/>
    <w:rsid w:val="00C43A96"/>
    <w:rsid w:val="00C45E45"/>
    <w:rsid w:val="00C52030"/>
    <w:rsid w:val="00C538BA"/>
    <w:rsid w:val="00C66444"/>
    <w:rsid w:val="00C73342"/>
    <w:rsid w:val="00C87480"/>
    <w:rsid w:val="00CA61B2"/>
    <w:rsid w:val="00CB0A09"/>
    <w:rsid w:val="00CC3713"/>
    <w:rsid w:val="00CC5DD8"/>
    <w:rsid w:val="00CD73FA"/>
    <w:rsid w:val="00CE01E8"/>
    <w:rsid w:val="00CE0614"/>
    <w:rsid w:val="00CE5334"/>
    <w:rsid w:val="00CE5996"/>
    <w:rsid w:val="00CF1668"/>
    <w:rsid w:val="00CF2274"/>
    <w:rsid w:val="00D00182"/>
    <w:rsid w:val="00D04EE1"/>
    <w:rsid w:val="00D11E8E"/>
    <w:rsid w:val="00D16FF6"/>
    <w:rsid w:val="00D417C5"/>
    <w:rsid w:val="00D42E14"/>
    <w:rsid w:val="00D44E54"/>
    <w:rsid w:val="00D46B95"/>
    <w:rsid w:val="00D53DD6"/>
    <w:rsid w:val="00D60699"/>
    <w:rsid w:val="00D618F4"/>
    <w:rsid w:val="00D67213"/>
    <w:rsid w:val="00D67358"/>
    <w:rsid w:val="00D81C46"/>
    <w:rsid w:val="00D82BDE"/>
    <w:rsid w:val="00D84139"/>
    <w:rsid w:val="00D951DF"/>
    <w:rsid w:val="00D96534"/>
    <w:rsid w:val="00D97E74"/>
    <w:rsid w:val="00DB14C7"/>
    <w:rsid w:val="00DB2090"/>
    <w:rsid w:val="00DB21D4"/>
    <w:rsid w:val="00DB2774"/>
    <w:rsid w:val="00DB7940"/>
    <w:rsid w:val="00DC2588"/>
    <w:rsid w:val="00DC3325"/>
    <w:rsid w:val="00DC50EC"/>
    <w:rsid w:val="00DD0DBC"/>
    <w:rsid w:val="00DD23BE"/>
    <w:rsid w:val="00DE11F2"/>
    <w:rsid w:val="00DE1E91"/>
    <w:rsid w:val="00DE2B6B"/>
    <w:rsid w:val="00DE3F55"/>
    <w:rsid w:val="00DE4012"/>
    <w:rsid w:val="00DE5AE4"/>
    <w:rsid w:val="00DE61DD"/>
    <w:rsid w:val="00DF5912"/>
    <w:rsid w:val="00E0051E"/>
    <w:rsid w:val="00E0180E"/>
    <w:rsid w:val="00E01E82"/>
    <w:rsid w:val="00E02B6C"/>
    <w:rsid w:val="00E0692E"/>
    <w:rsid w:val="00E1200B"/>
    <w:rsid w:val="00E135B0"/>
    <w:rsid w:val="00E15235"/>
    <w:rsid w:val="00E17972"/>
    <w:rsid w:val="00E179A4"/>
    <w:rsid w:val="00E24762"/>
    <w:rsid w:val="00E252E9"/>
    <w:rsid w:val="00E259AB"/>
    <w:rsid w:val="00E34B22"/>
    <w:rsid w:val="00E40A7A"/>
    <w:rsid w:val="00E466A8"/>
    <w:rsid w:val="00E5689C"/>
    <w:rsid w:val="00E629A1"/>
    <w:rsid w:val="00E64328"/>
    <w:rsid w:val="00E650B7"/>
    <w:rsid w:val="00E72188"/>
    <w:rsid w:val="00E7639A"/>
    <w:rsid w:val="00E82368"/>
    <w:rsid w:val="00E920E8"/>
    <w:rsid w:val="00EA15EB"/>
    <w:rsid w:val="00EB47D6"/>
    <w:rsid w:val="00EB7DDD"/>
    <w:rsid w:val="00EC3766"/>
    <w:rsid w:val="00ED1071"/>
    <w:rsid w:val="00ED47CA"/>
    <w:rsid w:val="00EE12A6"/>
    <w:rsid w:val="00EE1BBD"/>
    <w:rsid w:val="00EF3ADC"/>
    <w:rsid w:val="00F0012B"/>
    <w:rsid w:val="00F00E49"/>
    <w:rsid w:val="00F131C1"/>
    <w:rsid w:val="00F147E2"/>
    <w:rsid w:val="00F30E47"/>
    <w:rsid w:val="00F37A10"/>
    <w:rsid w:val="00F417D0"/>
    <w:rsid w:val="00F45274"/>
    <w:rsid w:val="00F47D19"/>
    <w:rsid w:val="00F53BB3"/>
    <w:rsid w:val="00F566F9"/>
    <w:rsid w:val="00F63986"/>
    <w:rsid w:val="00F666D8"/>
    <w:rsid w:val="00F70D28"/>
    <w:rsid w:val="00F70FFB"/>
    <w:rsid w:val="00F722FB"/>
    <w:rsid w:val="00F7425E"/>
    <w:rsid w:val="00F74826"/>
    <w:rsid w:val="00F77B79"/>
    <w:rsid w:val="00F91C70"/>
    <w:rsid w:val="00F921AA"/>
    <w:rsid w:val="00F96D2B"/>
    <w:rsid w:val="00FA782E"/>
    <w:rsid w:val="00FB5B44"/>
    <w:rsid w:val="00FB6896"/>
    <w:rsid w:val="00FC19A9"/>
    <w:rsid w:val="00FC442F"/>
    <w:rsid w:val="00FC4ED7"/>
    <w:rsid w:val="00FD277A"/>
    <w:rsid w:val="00FD728E"/>
    <w:rsid w:val="00FE2AF6"/>
    <w:rsid w:val="00FF0104"/>
    <w:rsid w:val="00FF5A44"/>
    <w:rsid w:val="00FF5D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14D4E8"/>
  <w15:docId w15:val="{592ECFF7-900C-43BE-AFE9-77AF7A4D4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1674"/>
    <w:rPr>
      <w:rFonts w:ascii="Arial" w:hAnsi="Arial"/>
      <w:sz w:val="24"/>
      <w:szCs w:val="24"/>
      <w:lang w:val="es-ES" w:eastAsia="es-ES"/>
    </w:rPr>
  </w:style>
  <w:style w:type="paragraph" w:styleId="Ttulo3">
    <w:name w:val="heading 3"/>
    <w:basedOn w:val="Normal"/>
    <w:next w:val="Normal"/>
    <w:qFormat/>
    <w:rsid w:val="00861674"/>
    <w:pPr>
      <w:keepNext/>
      <w:ind w:left="180" w:right="110"/>
      <w:outlineLvl w:val="2"/>
    </w:pPr>
    <w:rPr>
      <w:rFonts w:ascii="Univers Condensed" w:hAnsi="Univers Condensed" w:cs="Arial"/>
      <w:b/>
      <w:bCs/>
      <w:sz w:val="20"/>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61674"/>
    <w:pPr>
      <w:tabs>
        <w:tab w:val="center" w:pos="4419"/>
        <w:tab w:val="right" w:pos="8838"/>
      </w:tabs>
    </w:pPr>
  </w:style>
  <w:style w:type="table" w:styleId="Tablaconcuadrcula">
    <w:name w:val="Table Grid"/>
    <w:basedOn w:val="Tablanormal"/>
    <w:rsid w:val="00861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A86C89"/>
    <w:rPr>
      <w:rFonts w:ascii="Tahoma" w:hAnsi="Tahoma" w:cs="Tahoma"/>
      <w:sz w:val="16"/>
      <w:szCs w:val="16"/>
    </w:rPr>
  </w:style>
  <w:style w:type="character" w:styleId="Refdecomentario">
    <w:name w:val="annotation reference"/>
    <w:semiHidden/>
    <w:rsid w:val="00B4146C"/>
    <w:rPr>
      <w:sz w:val="16"/>
      <w:szCs w:val="16"/>
    </w:rPr>
  </w:style>
  <w:style w:type="paragraph" w:styleId="Textocomentario">
    <w:name w:val="annotation text"/>
    <w:basedOn w:val="Normal"/>
    <w:semiHidden/>
    <w:rsid w:val="00B4146C"/>
    <w:rPr>
      <w:sz w:val="20"/>
      <w:szCs w:val="20"/>
    </w:rPr>
  </w:style>
  <w:style w:type="paragraph" w:styleId="Asuntodelcomentario">
    <w:name w:val="annotation subject"/>
    <w:basedOn w:val="Textocomentario"/>
    <w:next w:val="Textocomentario"/>
    <w:semiHidden/>
    <w:rsid w:val="00B4146C"/>
    <w:rPr>
      <w:b/>
      <w:bCs/>
    </w:rPr>
  </w:style>
  <w:style w:type="paragraph" w:styleId="Revisin">
    <w:name w:val="Revision"/>
    <w:hidden/>
    <w:uiPriority w:val="99"/>
    <w:semiHidden/>
    <w:rsid w:val="00C87480"/>
    <w:rPr>
      <w:rFonts w:ascii="Arial" w:hAnsi="Arial"/>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95916">
      <w:bodyDiv w:val="1"/>
      <w:marLeft w:val="0"/>
      <w:marRight w:val="0"/>
      <w:marTop w:val="0"/>
      <w:marBottom w:val="0"/>
      <w:divBdr>
        <w:top w:val="none" w:sz="0" w:space="0" w:color="auto"/>
        <w:left w:val="none" w:sz="0" w:space="0" w:color="auto"/>
        <w:bottom w:val="none" w:sz="0" w:space="0" w:color="auto"/>
        <w:right w:val="none" w:sz="0" w:space="0" w:color="auto"/>
      </w:divBdr>
    </w:div>
    <w:div w:id="120920763">
      <w:bodyDiv w:val="1"/>
      <w:marLeft w:val="0"/>
      <w:marRight w:val="0"/>
      <w:marTop w:val="0"/>
      <w:marBottom w:val="0"/>
      <w:divBdr>
        <w:top w:val="none" w:sz="0" w:space="0" w:color="auto"/>
        <w:left w:val="none" w:sz="0" w:space="0" w:color="auto"/>
        <w:bottom w:val="none" w:sz="0" w:space="0" w:color="auto"/>
        <w:right w:val="none" w:sz="0" w:space="0" w:color="auto"/>
      </w:divBdr>
    </w:div>
    <w:div w:id="214320292">
      <w:bodyDiv w:val="1"/>
      <w:marLeft w:val="0"/>
      <w:marRight w:val="0"/>
      <w:marTop w:val="0"/>
      <w:marBottom w:val="0"/>
      <w:divBdr>
        <w:top w:val="none" w:sz="0" w:space="0" w:color="auto"/>
        <w:left w:val="none" w:sz="0" w:space="0" w:color="auto"/>
        <w:bottom w:val="none" w:sz="0" w:space="0" w:color="auto"/>
        <w:right w:val="none" w:sz="0" w:space="0" w:color="auto"/>
      </w:divBdr>
    </w:div>
    <w:div w:id="267546941">
      <w:bodyDiv w:val="1"/>
      <w:marLeft w:val="0"/>
      <w:marRight w:val="0"/>
      <w:marTop w:val="0"/>
      <w:marBottom w:val="0"/>
      <w:divBdr>
        <w:top w:val="none" w:sz="0" w:space="0" w:color="auto"/>
        <w:left w:val="none" w:sz="0" w:space="0" w:color="auto"/>
        <w:bottom w:val="none" w:sz="0" w:space="0" w:color="auto"/>
        <w:right w:val="none" w:sz="0" w:space="0" w:color="auto"/>
      </w:divBdr>
    </w:div>
    <w:div w:id="365570862">
      <w:bodyDiv w:val="1"/>
      <w:marLeft w:val="0"/>
      <w:marRight w:val="0"/>
      <w:marTop w:val="0"/>
      <w:marBottom w:val="0"/>
      <w:divBdr>
        <w:top w:val="none" w:sz="0" w:space="0" w:color="auto"/>
        <w:left w:val="none" w:sz="0" w:space="0" w:color="auto"/>
        <w:bottom w:val="none" w:sz="0" w:space="0" w:color="auto"/>
        <w:right w:val="none" w:sz="0" w:space="0" w:color="auto"/>
      </w:divBdr>
    </w:div>
    <w:div w:id="368648925">
      <w:bodyDiv w:val="1"/>
      <w:marLeft w:val="0"/>
      <w:marRight w:val="0"/>
      <w:marTop w:val="0"/>
      <w:marBottom w:val="0"/>
      <w:divBdr>
        <w:top w:val="none" w:sz="0" w:space="0" w:color="auto"/>
        <w:left w:val="none" w:sz="0" w:space="0" w:color="auto"/>
        <w:bottom w:val="none" w:sz="0" w:space="0" w:color="auto"/>
        <w:right w:val="none" w:sz="0" w:space="0" w:color="auto"/>
      </w:divBdr>
    </w:div>
    <w:div w:id="457451972">
      <w:bodyDiv w:val="1"/>
      <w:marLeft w:val="0"/>
      <w:marRight w:val="0"/>
      <w:marTop w:val="0"/>
      <w:marBottom w:val="0"/>
      <w:divBdr>
        <w:top w:val="none" w:sz="0" w:space="0" w:color="auto"/>
        <w:left w:val="none" w:sz="0" w:space="0" w:color="auto"/>
        <w:bottom w:val="none" w:sz="0" w:space="0" w:color="auto"/>
        <w:right w:val="none" w:sz="0" w:space="0" w:color="auto"/>
      </w:divBdr>
    </w:div>
    <w:div w:id="460534427">
      <w:bodyDiv w:val="1"/>
      <w:marLeft w:val="0"/>
      <w:marRight w:val="0"/>
      <w:marTop w:val="0"/>
      <w:marBottom w:val="0"/>
      <w:divBdr>
        <w:top w:val="none" w:sz="0" w:space="0" w:color="auto"/>
        <w:left w:val="none" w:sz="0" w:space="0" w:color="auto"/>
        <w:bottom w:val="none" w:sz="0" w:space="0" w:color="auto"/>
        <w:right w:val="none" w:sz="0" w:space="0" w:color="auto"/>
      </w:divBdr>
    </w:div>
    <w:div w:id="575672192">
      <w:bodyDiv w:val="1"/>
      <w:marLeft w:val="0"/>
      <w:marRight w:val="0"/>
      <w:marTop w:val="0"/>
      <w:marBottom w:val="0"/>
      <w:divBdr>
        <w:top w:val="none" w:sz="0" w:space="0" w:color="auto"/>
        <w:left w:val="none" w:sz="0" w:space="0" w:color="auto"/>
        <w:bottom w:val="none" w:sz="0" w:space="0" w:color="auto"/>
        <w:right w:val="none" w:sz="0" w:space="0" w:color="auto"/>
      </w:divBdr>
    </w:div>
    <w:div w:id="597982158">
      <w:bodyDiv w:val="1"/>
      <w:marLeft w:val="0"/>
      <w:marRight w:val="0"/>
      <w:marTop w:val="0"/>
      <w:marBottom w:val="0"/>
      <w:divBdr>
        <w:top w:val="none" w:sz="0" w:space="0" w:color="auto"/>
        <w:left w:val="none" w:sz="0" w:space="0" w:color="auto"/>
        <w:bottom w:val="none" w:sz="0" w:space="0" w:color="auto"/>
        <w:right w:val="none" w:sz="0" w:space="0" w:color="auto"/>
      </w:divBdr>
    </w:div>
    <w:div w:id="629746640">
      <w:bodyDiv w:val="1"/>
      <w:marLeft w:val="0"/>
      <w:marRight w:val="0"/>
      <w:marTop w:val="0"/>
      <w:marBottom w:val="0"/>
      <w:divBdr>
        <w:top w:val="none" w:sz="0" w:space="0" w:color="auto"/>
        <w:left w:val="none" w:sz="0" w:space="0" w:color="auto"/>
        <w:bottom w:val="none" w:sz="0" w:space="0" w:color="auto"/>
        <w:right w:val="none" w:sz="0" w:space="0" w:color="auto"/>
      </w:divBdr>
    </w:div>
    <w:div w:id="642200220">
      <w:bodyDiv w:val="1"/>
      <w:marLeft w:val="0"/>
      <w:marRight w:val="0"/>
      <w:marTop w:val="0"/>
      <w:marBottom w:val="0"/>
      <w:divBdr>
        <w:top w:val="none" w:sz="0" w:space="0" w:color="auto"/>
        <w:left w:val="none" w:sz="0" w:space="0" w:color="auto"/>
        <w:bottom w:val="none" w:sz="0" w:space="0" w:color="auto"/>
        <w:right w:val="none" w:sz="0" w:space="0" w:color="auto"/>
      </w:divBdr>
    </w:div>
    <w:div w:id="650790598">
      <w:bodyDiv w:val="1"/>
      <w:marLeft w:val="0"/>
      <w:marRight w:val="0"/>
      <w:marTop w:val="0"/>
      <w:marBottom w:val="0"/>
      <w:divBdr>
        <w:top w:val="none" w:sz="0" w:space="0" w:color="auto"/>
        <w:left w:val="none" w:sz="0" w:space="0" w:color="auto"/>
        <w:bottom w:val="none" w:sz="0" w:space="0" w:color="auto"/>
        <w:right w:val="none" w:sz="0" w:space="0" w:color="auto"/>
      </w:divBdr>
    </w:div>
    <w:div w:id="652487557">
      <w:bodyDiv w:val="1"/>
      <w:marLeft w:val="0"/>
      <w:marRight w:val="0"/>
      <w:marTop w:val="0"/>
      <w:marBottom w:val="0"/>
      <w:divBdr>
        <w:top w:val="none" w:sz="0" w:space="0" w:color="auto"/>
        <w:left w:val="none" w:sz="0" w:space="0" w:color="auto"/>
        <w:bottom w:val="none" w:sz="0" w:space="0" w:color="auto"/>
        <w:right w:val="none" w:sz="0" w:space="0" w:color="auto"/>
      </w:divBdr>
    </w:div>
    <w:div w:id="657344574">
      <w:bodyDiv w:val="1"/>
      <w:marLeft w:val="0"/>
      <w:marRight w:val="0"/>
      <w:marTop w:val="0"/>
      <w:marBottom w:val="0"/>
      <w:divBdr>
        <w:top w:val="none" w:sz="0" w:space="0" w:color="auto"/>
        <w:left w:val="none" w:sz="0" w:space="0" w:color="auto"/>
        <w:bottom w:val="none" w:sz="0" w:space="0" w:color="auto"/>
        <w:right w:val="none" w:sz="0" w:space="0" w:color="auto"/>
      </w:divBdr>
    </w:div>
    <w:div w:id="706293910">
      <w:bodyDiv w:val="1"/>
      <w:marLeft w:val="0"/>
      <w:marRight w:val="0"/>
      <w:marTop w:val="0"/>
      <w:marBottom w:val="0"/>
      <w:divBdr>
        <w:top w:val="none" w:sz="0" w:space="0" w:color="auto"/>
        <w:left w:val="none" w:sz="0" w:space="0" w:color="auto"/>
        <w:bottom w:val="none" w:sz="0" w:space="0" w:color="auto"/>
        <w:right w:val="none" w:sz="0" w:space="0" w:color="auto"/>
      </w:divBdr>
    </w:div>
    <w:div w:id="728891515">
      <w:bodyDiv w:val="1"/>
      <w:marLeft w:val="0"/>
      <w:marRight w:val="0"/>
      <w:marTop w:val="0"/>
      <w:marBottom w:val="0"/>
      <w:divBdr>
        <w:top w:val="none" w:sz="0" w:space="0" w:color="auto"/>
        <w:left w:val="none" w:sz="0" w:space="0" w:color="auto"/>
        <w:bottom w:val="none" w:sz="0" w:space="0" w:color="auto"/>
        <w:right w:val="none" w:sz="0" w:space="0" w:color="auto"/>
      </w:divBdr>
    </w:div>
    <w:div w:id="809059326">
      <w:bodyDiv w:val="1"/>
      <w:marLeft w:val="0"/>
      <w:marRight w:val="0"/>
      <w:marTop w:val="0"/>
      <w:marBottom w:val="0"/>
      <w:divBdr>
        <w:top w:val="none" w:sz="0" w:space="0" w:color="auto"/>
        <w:left w:val="none" w:sz="0" w:space="0" w:color="auto"/>
        <w:bottom w:val="none" w:sz="0" w:space="0" w:color="auto"/>
        <w:right w:val="none" w:sz="0" w:space="0" w:color="auto"/>
      </w:divBdr>
    </w:div>
    <w:div w:id="854079910">
      <w:bodyDiv w:val="1"/>
      <w:marLeft w:val="0"/>
      <w:marRight w:val="0"/>
      <w:marTop w:val="0"/>
      <w:marBottom w:val="0"/>
      <w:divBdr>
        <w:top w:val="none" w:sz="0" w:space="0" w:color="auto"/>
        <w:left w:val="none" w:sz="0" w:space="0" w:color="auto"/>
        <w:bottom w:val="none" w:sz="0" w:space="0" w:color="auto"/>
        <w:right w:val="none" w:sz="0" w:space="0" w:color="auto"/>
      </w:divBdr>
    </w:div>
    <w:div w:id="858541539">
      <w:bodyDiv w:val="1"/>
      <w:marLeft w:val="0"/>
      <w:marRight w:val="0"/>
      <w:marTop w:val="0"/>
      <w:marBottom w:val="0"/>
      <w:divBdr>
        <w:top w:val="none" w:sz="0" w:space="0" w:color="auto"/>
        <w:left w:val="none" w:sz="0" w:space="0" w:color="auto"/>
        <w:bottom w:val="none" w:sz="0" w:space="0" w:color="auto"/>
        <w:right w:val="none" w:sz="0" w:space="0" w:color="auto"/>
      </w:divBdr>
    </w:div>
    <w:div w:id="908005319">
      <w:bodyDiv w:val="1"/>
      <w:marLeft w:val="0"/>
      <w:marRight w:val="0"/>
      <w:marTop w:val="0"/>
      <w:marBottom w:val="0"/>
      <w:divBdr>
        <w:top w:val="none" w:sz="0" w:space="0" w:color="auto"/>
        <w:left w:val="none" w:sz="0" w:space="0" w:color="auto"/>
        <w:bottom w:val="none" w:sz="0" w:space="0" w:color="auto"/>
        <w:right w:val="none" w:sz="0" w:space="0" w:color="auto"/>
      </w:divBdr>
    </w:div>
    <w:div w:id="913390472">
      <w:bodyDiv w:val="1"/>
      <w:marLeft w:val="0"/>
      <w:marRight w:val="0"/>
      <w:marTop w:val="0"/>
      <w:marBottom w:val="0"/>
      <w:divBdr>
        <w:top w:val="none" w:sz="0" w:space="0" w:color="auto"/>
        <w:left w:val="none" w:sz="0" w:space="0" w:color="auto"/>
        <w:bottom w:val="none" w:sz="0" w:space="0" w:color="auto"/>
        <w:right w:val="none" w:sz="0" w:space="0" w:color="auto"/>
      </w:divBdr>
    </w:div>
    <w:div w:id="930158287">
      <w:bodyDiv w:val="1"/>
      <w:marLeft w:val="0"/>
      <w:marRight w:val="0"/>
      <w:marTop w:val="0"/>
      <w:marBottom w:val="0"/>
      <w:divBdr>
        <w:top w:val="none" w:sz="0" w:space="0" w:color="auto"/>
        <w:left w:val="none" w:sz="0" w:space="0" w:color="auto"/>
        <w:bottom w:val="none" w:sz="0" w:space="0" w:color="auto"/>
        <w:right w:val="none" w:sz="0" w:space="0" w:color="auto"/>
      </w:divBdr>
    </w:div>
    <w:div w:id="1008294495">
      <w:bodyDiv w:val="1"/>
      <w:marLeft w:val="0"/>
      <w:marRight w:val="0"/>
      <w:marTop w:val="0"/>
      <w:marBottom w:val="0"/>
      <w:divBdr>
        <w:top w:val="none" w:sz="0" w:space="0" w:color="auto"/>
        <w:left w:val="none" w:sz="0" w:space="0" w:color="auto"/>
        <w:bottom w:val="none" w:sz="0" w:space="0" w:color="auto"/>
        <w:right w:val="none" w:sz="0" w:space="0" w:color="auto"/>
      </w:divBdr>
    </w:div>
    <w:div w:id="1010765853">
      <w:bodyDiv w:val="1"/>
      <w:marLeft w:val="0"/>
      <w:marRight w:val="0"/>
      <w:marTop w:val="0"/>
      <w:marBottom w:val="0"/>
      <w:divBdr>
        <w:top w:val="none" w:sz="0" w:space="0" w:color="auto"/>
        <w:left w:val="none" w:sz="0" w:space="0" w:color="auto"/>
        <w:bottom w:val="none" w:sz="0" w:space="0" w:color="auto"/>
        <w:right w:val="none" w:sz="0" w:space="0" w:color="auto"/>
      </w:divBdr>
    </w:div>
    <w:div w:id="1183861041">
      <w:bodyDiv w:val="1"/>
      <w:marLeft w:val="0"/>
      <w:marRight w:val="0"/>
      <w:marTop w:val="0"/>
      <w:marBottom w:val="0"/>
      <w:divBdr>
        <w:top w:val="none" w:sz="0" w:space="0" w:color="auto"/>
        <w:left w:val="none" w:sz="0" w:space="0" w:color="auto"/>
        <w:bottom w:val="none" w:sz="0" w:space="0" w:color="auto"/>
        <w:right w:val="none" w:sz="0" w:space="0" w:color="auto"/>
      </w:divBdr>
    </w:div>
    <w:div w:id="1204560330">
      <w:bodyDiv w:val="1"/>
      <w:marLeft w:val="0"/>
      <w:marRight w:val="0"/>
      <w:marTop w:val="0"/>
      <w:marBottom w:val="0"/>
      <w:divBdr>
        <w:top w:val="none" w:sz="0" w:space="0" w:color="auto"/>
        <w:left w:val="none" w:sz="0" w:space="0" w:color="auto"/>
        <w:bottom w:val="none" w:sz="0" w:space="0" w:color="auto"/>
        <w:right w:val="none" w:sz="0" w:space="0" w:color="auto"/>
      </w:divBdr>
    </w:div>
    <w:div w:id="1210534997">
      <w:bodyDiv w:val="1"/>
      <w:marLeft w:val="0"/>
      <w:marRight w:val="0"/>
      <w:marTop w:val="0"/>
      <w:marBottom w:val="0"/>
      <w:divBdr>
        <w:top w:val="none" w:sz="0" w:space="0" w:color="auto"/>
        <w:left w:val="none" w:sz="0" w:space="0" w:color="auto"/>
        <w:bottom w:val="none" w:sz="0" w:space="0" w:color="auto"/>
        <w:right w:val="none" w:sz="0" w:space="0" w:color="auto"/>
      </w:divBdr>
    </w:div>
    <w:div w:id="1223256415">
      <w:bodyDiv w:val="1"/>
      <w:marLeft w:val="0"/>
      <w:marRight w:val="0"/>
      <w:marTop w:val="0"/>
      <w:marBottom w:val="0"/>
      <w:divBdr>
        <w:top w:val="none" w:sz="0" w:space="0" w:color="auto"/>
        <w:left w:val="none" w:sz="0" w:space="0" w:color="auto"/>
        <w:bottom w:val="none" w:sz="0" w:space="0" w:color="auto"/>
        <w:right w:val="none" w:sz="0" w:space="0" w:color="auto"/>
      </w:divBdr>
    </w:div>
    <w:div w:id="1223524272">
      <w:bodyDiv w:val="1"/>
      <w:marLeft w:val="0"/>
      <w:marRight w:val="0"/>
      <w:marTop w:val="0"/>
      <w:marBottom w:val="0"/>
      <w:divBdr>
        <w:top w:val="none" w:sz="0" w:space="0" w:color="auto"/>
        <w:left w:val="none" w:sz="0" w:space="0" w:color="auto"/>
        <w:bottom w:val="none" w:sz="0" w:space="0" w:color="auto"/>
        <w:right w:val="none" w:sz="0" w:space="0" w:color="auto"/>
      </w:divBdr>
    </w:div>
    <w:div w:id="1256210555">
      <w:bodyDiv w:val="1"/>
      <w:marLeft w:val="0"/>
      <w:marRight w:val="0"/>
      <w:marTop w:val="0"/>
      <w:marBottom w:val="0"/>
      <w:divBdr>
        <w:top w:val="none" w:sz="0" w:space="0" w:color="auto"/>
        <w:left w:val="none" w:sz="0" w:space="0" w:color="auto"/>
        <w:bottom w:val="none" w:sz="0" w:space="0" w:color="auto"/>
        <w:right w:val="none" w:sz="0" w:space="0" w:color="auto"/>
      </w:divBdr>
    </w:div>
    <w:div w:id="1291281100">
      <w:bodyDiv w:val="1"/>
      <w:marLeft w:val="0"/>
      <w:marRight w:val="0"/>
      <w:marTop w:val="0"/>
      <w:marBottom w:val="0"/>
      <w:divBdr>
        <w:top w:val="none" w:sz="0" w:space="0" w:color="auto"/>
        <w:left w:val="none" w:sz="0" w:space="0" w:color="auto"/>
        <w:bottom w:val="none" w:sz="0" w:space="0" w:color="auto"/>
        <w:right w:val="none" w:sz="0" w:space="0" w:color="auto"/>
      </w:divBdr>
    </w:div>
    <w:div w:id="1375539296">
      <w:bodyDiv w:val="1"/>
      <w:marLeft w:val="0"/>
      <w:marRight w:val="0"/>
      <w:marTop w:val="0"/>
      <w:marBottom w:val="0"/>
      <w:divBdr>
        <w:top w:val="none" w:sz="0" w:space="0" w:color="auto"/>
        <w:left w:val="none" w:sz="0" w:space="0" w:color="auto"/>
        <w:bottom w:val="none" w:sz="0" w:space="0" w:color="auto"/>
        <w:right w:val="none" w:sz="0" w:space="0" w:color="auto"/>
      </w:divBdr>
    </w:div>
    <w:div w:id="1403409928">
      <w:bodyDiv w:val="1"/>
      <w:marLeft w:val="0"/>
      <w:marRight w:val="0"/>
      <w:marTop w:val="0"/>
      <w:marBottom w:val="0"/>
      <w:divBdr>
        <w:top w:val="none" w:sz="0" w:space="0" w:color="auto"/>
        <w:left w:val="none" w:sz="0" w:space="0" w:color="auto"/>
        <w:bottom w:val="none" w:sz="0" w:space="0" w:color="auto"/>
        <w:right w:val="none" w:sz="0" w:space="0" w:color="auto"/>
      </w:divBdr>
    </w:div>
    <w:div w:id="1506630668">
      <w:bodyDiv w:val="1"/>
      <w:marLeft w:val="0"/>
      <w:marRight w:val="0"/>
      <w:marTop w:val="0"/>
      <w:marBottom w:val="0"/>
      <w:divBdr>
        <w:top w:val="none" w:sz="0" w:space="0" w:color="auto"/>
        <w:left w:val="none" w:sz="0" w:space="0" w:color="auto"/>
        <w:bottom w:val="none" w:sz="0" w:space="0" w:color="auto"/>
        <w:right w:val="none" w:sz="0" w:space="0" w:color="auto"/>
      </w:divBdr>
    </w:div>
    <w:div w:id="1513256423">
      <w:bodyDiv w:val="1"/>
      <w:marLeft w:val="0"/>
      <w:marRight w:val="0"/>
      <w:marTop w:val="0"/>
      <w:marBottom w:val="0"/>
      <w:divBdr>
        <w:top w:val="none" w:sz="0" w:space="0" w:color="auto"/>
        <w:left w:val="none" w:sz="0" w:space="0" w:color="auto"/>
        <w:bottom w:val="none" w:sz="0" w:space="0" w:color="auto"/>
        <w:right w:val="none" w:sz="0" w:space="0" w:color="auto"/>
      </w:divBdr>
    </w:div>
    <w:div w:id="1548642054">
      <w:bodyDiv w:val="1"/>
      <w:marLeft w:val="0"/>
      <w:marRight w:val="0"/>
      <w:marTop w:val="0"/>
      <w:marBottom w:val="0"/>
      <w:divBdr>
        <w:top w:val="none" w:sz="0" w:space="0" w:color="auto"/>
        <w:left w:val="none" w:sz="0" w:space="0" w:color="auto"/>
        <w:bottom w:val="none" w:sz="0" w:space="0" w:color="auto"/>
        <w:right w:val="none" w:sz="0" w:space="0" w:color="auto"/>
      </w:divBdr>
    </w:div>
    <w:div w:id="1559975447">
      <w:bodyDiv w:val="1"/>
      <w:marLeft w:val="0"/>
      <w:marRight w:val="0"/>
      <w:marTop w:val="0"/>
      <w:marBottom w:val="0"/>
      <w:divBdr>
        <w:top w:val="none" w:sz="0" w:space="0" w:color="auto"/>
        <w:left w:val="none" w:sz="0" w:space="0" w:color="auto"/>
        <w:bottom w:val="none" w:sz="0" w:space="0" w:color="auto"/>
        <w:right w:val="none" w:sz="0" w:space="0" w:color="auto"/>
      </w:divBdr>
    </w:div>
    <w:div w:id="1632125502">
      <w:bodyDiv w:val="1"/>
      <w:marLeft w:val="0"/>
      <w:marRight w:val="0"/>
      <w:marTop w:val="0"/>
      <w:marBottom w:val="0"/>
      <w:divBdr>
        <w:top w:val="none" w:sz="0" w:space="0" w:color="auto"/>
        <w:left w:val="none" w:sz="0" w:space="0" w:color="auto"/>
        <w:bottom w:val="none" w:sz="0" w:space="0" w:color="auto"/>
        <w:right w:val="none" w:sz="0" w:space="0" w:color="auto"/>
      </w:divBdr>
    </w:div>
    <w:div w:id="1651251938">
      <w:bodyDiv w:val="1"/>
      <w:marLeft w:val="0"/>
      <w:marRight w:val="0"/>
      <w:marTop w:val="0"/>
      <w:marBottom w:val="0"/>
      <w:divBdr>
        <w:top w:val="none" w:sz="0" w:space="0" w:color="auto"/>
        <w:left w:val="none" w:sz="0" w:space="0" w:color="auto"/>
        <w:bottom w:val="none" w:sz="0" w:space="0" w:color="auto"/>
        <w:right w:val="none" w:sz="0" w:space="0" w:color="auto"/>
      </w:divBdr>
    </w:div>
    <w:div w:id="1653945598">
      <w:bodyDiv w:val="1"/>
      <w:marLeft w:val="0"/>
      <w:marRight w:val="0"/>
      <w:marTop w:val="0"/>
      <w:marBottom w:val="0"/>
      <w:divBdr>
        <w:top w:val="none" w:sz="0" w:space="0" w:color="auto"/>
        <w:left w:val="none" w:sz="0" w:space="0" w:color="auto"/>
        <w:bottom w:val="none" w:sz="0" w:space="0" w:color="auto"/>
        <w:right w:val="none" w:sz="0" w:space="0" w:color="auto"/>
      </w:divBdr>
    </w:div>
    <w:div w:id="1770344800">
      <w:bodyDiv w:val="1"/>
      <w:marLeft w:val="0"/>
      <w:marRight w:val="0"/>
      <w:marTop w:val="0"/>
      <w:marBottom w:val="0"/>
      <w:divBdr>
        <w:top w:val="none" w:sz="0" w:space="0" w:color="auto"/>
        <w:left w:val="none" w:sz="0" w:space="0" w:color="auto"/>
        <w:bottom w:val="none" w:sz="0" w:space="0" w:color="auto"/>
        <w:right w:val="none" w:sz="0" w:space="0" w:color="auto"/>
      </w:divBdr>
    </w:div>
    <w:div w:id="1791245320">
      <w:bodyDiv w:val="1"/>
      <w:marLeft w:val="0"/>
      <w:marRight w:val="0"/>
      <w:marTop w:val="0"/>
      <w:marBottom w:val="0"/>
      <w:divBdr>
        <w:top w:val="none" w:sz="0" w:space="0" w:color="auto"/>
        <w:left w:val="none" w:sz="0" w:space="0" w:color="auto"/>
        <w:bottom w:val="none" w:sz="0" w:space="0" w:color="auto"/>
        <w:right w:val="none" w:sz="0" w:space="0" w:color="auto"/>
      </w:divBdr>
    </w:div>
    <w:div w:id="1874733542">
      <w:bodyDiv w:val="1"/>
      <w:marLeft w:val="0"/>
      <w:marRight w:val="0"/>
      <w:marTop w:val="0"/>
      <w:marBottom w:val="0"/>
      <w:divBdr>
        <w:top w:val="none" w:sz="0" w:space="0" w:color="auto"/>
        <w:left w:val="none" w:sz="0" w:space="0" w:color="auto"/>
        <w:bottom w:val="none" w:sz="0" w:space="0" w:color="auto"/>
        <w:right w:val="none" w:sz="0" w:space="0" w:color="auto"/>
      </w:divBdr>
    </w:div>
    <w:div w:id="1886016502">
      <w:bodyDiv w:val="1"/>
      <w:marLeft w:val="0"/>
      <w:marRight w:val="0"/>
      <w:marTop w:val="0"/>
      <w:marBottom w:val="0"/>
      <w:divBdr>
        <w:top w:val="none" w:sz="0" w:space="0" w:color="auto"/>
        <w:left w:val="none" w:sz="0" w:space="0" w:color="auto"/>
        <w:bottom w:val="none" w:sz="0" w:space="0" w:color="auto"/>
        <w:right w:val="none" w:sz="0" w:space="0" w:color="auto"/>
      </w:divBdr>
    </w:div>
    <w:div w:id="1955014030">
      <w:bodyDiv w:val="1"/>
      <w:marLeft w:val="0"/>
      <w:marRight w:val="0"/>
      <w:marTop w:val="0"/>
      <w:marBottom w:val="0"/>
      <w:divBdr>
        <w:top w:val="none" w:sz="0" w:space="0" w:color="auto"/>
        <w:left w:val="none" w:sz="0" w:space="0" w:color="auto"/>
        <w:bottom w:val="none" w:sz="0" w:space="0" w:color="auto"/>
        <w:right w:val="none" w:sz="0" w:space="0" w:color="auto"/>
      </w:divBdr>
    </w:div>
    <w:div w:id="1999461651">
      <w:bodyDiv w:val="1"/>
      <w:marLeft w:val="0"/>
      <w:marRight w:val="0"/>
      <w:marTop w:val="0"/>
      <w:marBottom w:val="0"/>
      <w:divBdr>
        <w:top w:val="none" w:sz="0" w:space="0" w:color="auto"/>
        <w:left w:val="none" w:sz="0" w:space="0" w:color="auto"/>
        <w:bottom w:val="none" w:sz="0" w:space="0" w:color="auto"/>
        <w:right w:val="none" w:sz="0" w:space="0" w:color="auto"/>
      </w:divBdr>
    </w:div>
    <w:div w:id="2016491779">
      <w:bodyDiv w:val="1"/>
      <w:marLeft w:val="0"/>
      <w:marRight w:val="0"/>
      <w:marTop w:val="0"/>
      <w:marBottom w:val="0"/>
      <w:divBdr>
        <w:top w:val="none" w:sz="0" w:space="0" w:color="auto"/>
        <w:left w:val="none" w:sz="0" w:space="0" w:color="auto"/>
        <w:bottom w:val="none" w:sz="0" w:space="0" w:color="auto"/>
        <w:right w:val="none" w:sz="0" w:space="0" w:color="auto"/>
      </w:divBdr>
    </w:div>
    <w:div w:id="2026009461">
      <w:bodyDiv w:val="1"/>
      <w:marLeft w:val="0"/>
      <w:marRight w:val="0"/>
      <w:marTop w:val="0"/>
      <w:marBottom w:val="0"/>
      <w:divBdr>
        <w:top w:val="none" w:sz="0" w:space="0" w:color="auto"/>
        <w:left w:val="none" w:sz="0" w:space="0" w:color="auto"/>
        <w:bottom w:val="none" w:sz="0" w:space="0" w:color="auto"/>
        <w:right w:val="none" w:sz="0" w:space="0" w:color="auto"/>
      </w:divBdr>
    </w:div>
    <w:div w:id="2034303751">
      <w:bodyDiv w:val="1"/>
      <w:marLeft w:val="0"/>
      <w:marRight w:val="0"/>
      <w:marTop w:val="0"/>
      <w:marBottom w:val="0"/>
      <w:divBdr>
        <w:top w:val="none" w:sz="0" w:space="0" w:color="auto"/>
        <w:left w:val="none" w:sz="0" w:space="0" w:color="auto"/>
        <w:bottom w:val="none" w:sz="0" w:space="0" w:color="auto"/>
        <w:right w:val="none" w:sz="0" w:space="0" w:color="auto"/>
      </w:divBdr>
    </w:div>
    <w:div w:id="2074697365">
      <w:bodyDiv w:val="1"/>
      <w:marLeft w:val="0"/>
      <w:marRight w:val="0"/>
      <w:marTop w:val="0"/>
      <w:marBottom w:val="0"/>
      <w:divBdr>
        <w:top w:val="none" w:sz="0" w:space="0" w:color="auto"/>
        <w:left w:val="none" w:sz="0" w:space="0" w:color="auto"/>
        <w:bottom w:val="none" w:sz="0" w:space="0" w:color="auto"/>
        <w:right w:val="none" w:sz="0" w:space="0" w:color="auto"/>
      </w:divBdr>
    </w:div>
    <w:div w:id="2093817174">
      <w:bodyDiv w:val="1"/>
      <w:marLeft w:val="0"/>
      <w:marRight w:val="0"/>
      <w:marTop w:val="0"/>
      <w:marBottom w:val="0"/>
      <w:divBdr>
        <w:top w:val="none" w:sz="0" w:space="0" w:color="auto"/>
        <w:left w:val="none" w:sz="0" w:space="0" w:color="auto"/>
        <w:bottom w:val="none" w:sz="0" w:space="0" w:color="auto"/>
        <w:right w:val="none" w:sz="0" w:space="0" w:color="auto"/>
      </w:divBdr>
    </w:div>
    <w:div w:id="2111196788">
      <w:bodyDiv w:val="1"/>
      <w:marLeft w:val="0"/>
      <w:marRight w:val="0"/>
      <w:marTop w:val="0"/>
      <w:marBottom w:val="0"/>
      <w:divBdr>
        <w:top w:val="none" w:sz="0" w:space="0" w:color="auto"/>
        <w:left w:val="none" w:sz="0" w:space="0" w:color="auto"/>
        <w:bottom w:val="none" w:sz="0" w:space="0" w:color="auto"/>
        <w:right w:val="none" w:sz="0" w:space="0" w:color="auto"/>
      </w:divBdr>
    </w:div>
    <w:div w:id="2127118259">
      <w:bodyDiv w:val="1"/>
      <w:marLeft w:val="0"/>
      <w:marRight w:val="0"/>
      <w:marTop w:val="0"/>
      <w:marBottom w:val="0"/>
      <w:divBdr>
        <w:top w:val="none" w:sz="0" w:space="0" w:color="auto"/>
        <w:left w:val="none" w:sz="0" w:space="0" w:color="auto"/>
        <w:bottom w:val="none" w:sz="0" w:space="0" w:color="auto"/>
        <w:right w:val="none" w:sz="0" w:space="0" w:color="auto"/>
      </w:divBdr>
    </w:div>
    <w:div w:id="2127576533">
      <w:bodyDiv w:val="1"/>
      <w:marLeft w:val="0"/>
      <w:marRight w:val="0"/>
      <w:marTop w:val="0"/>
      <w:marBottom w:val="0"/>
      <w:divBdr>
        <w:top w:val="none" w:sz="0" w:space="0" w:color="auto"/>
        <w:left w:val="none" w:sz="0" w:space="0" w:color="auto"/>
        <w:bottom w:val="none" w:sz="0" w:space="0" w:color="auto"/>
        <w:right w:val="none" w:sz="0" w:space="0" w:color="auto"/>
      </w:divBdr>
    </w:div>
    <w:div w:id="2132935198">
      <w:bodyDiv w:val="1"/>
      <w:marLeft w:val="0"/>
      <w:marRight w:val="0"/>
      <w:marTop w:val="0"/>
      <w:marBottom w:val="0"/>
      <w:divBdr>
        <w:top w:val="none" w:sz="0" w:space="0" w:color="auto"/>
        <w:left w:val="none" w:sz="0" w:space="0" w:color="auto"/>
        <w:bottom w:val="none" w:sz="0" w:space="0" w:color="auto"/>
        <w:right w:val="none" w:sz="0" w:space="0" w:color="auto"/>
      </w:divBdr>
    </w:div>
    <w:div w:id="213628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oleObject" Target="embeddings/oleObject8.bin"/><Relationship Id="rId10" Type="http://schemas.openxmlformats.org/officeDocument/2006/relationships/oleObject" Target="embeddings/oleObject1.bin"/><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8.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C46A6-E3B7-4977-B1BE-947C6A4D9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919</Words>
  <Characters>5055</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CS07a Porcentaje de hogares con hijos* en edad escolar normativa básica donde el jefe o cónyuge son analfabetos (2000 y 2005)</vt:lpstr>
    </vt:vector>
  </TitlesOfParts>
  <Company>INEE</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CS07a Porcentaje de hogares con hijos* en edad escolar normativa básica donde el jefe o cónyuge son analfabetos (2000 y 2005)</dc:title>
  <dc:creator>Luis Alberto Degante Mendez</dc:creator>
  <cp:lastModifiedBy>Revisor1</cp:lastModifiedBy>
  <cp:revision>55</cp:revision>
  <cp:lastPrinted>2013-11-13T15:58:00Z</cp:lastPrinted>
  <dcterms:created xsi:type="dcterms:W3CDTF">2017-08-08T22:50:00Z</dcterms:created>
  <dcterms:modified xsi:type="dcterms:W3CDTF">2019-07-04T00:18:00Z</dcterms:modified>
</cp:coreProperties>
</file>