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2AF4F" w14:textId="77777777" w:rsidR="00DE3574" w:rsidRPr="00A00339" w:rsidRDefault="00CE7BC0" w:rsidP="00470ACB">
      <w:pPr>
        <w:rPr>
          <w:rFonts w:ascii="Arial" w:hAnsi="Arial" w:cs="Arial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770837" wp14:editId="2D83134D">
                <wp:simplePos x="0" y="0"/>
                <wp:positionH relativeFrom="column">
                  <wp:posOffset>-44526</wp:posOffset>
                </wp:positionH>
                <wp:positionV relativeFrom="paragraph">
                  <wp:posOffset>77109</wp:posOffset>
                </wp:positionV>
                <wp:extent cx="685800" cy="272955"/>
                <wp:effectExtent l="0" t="0" r="19050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72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A53B21" w14:textId="77777777" w:rsidR="00DE3574" w:rsidRPr="00CD50FF" w:rsidRDefault="00591140" w:rsidP="00470ACB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D50FF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CS0</w:t>
                            </w:r>
                            <w:r w:rsidR="00535892" w:rsidRPr="00EE5D0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253658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770837" id="AutoShape 2" o:spid="_x0000_s1026" style="position:absolute;margin-left:-3.5pt;margin-top:6.05pt;width:54pt;height:2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">
                <v:textbox>
                  <w:txbxContent>
                    <w:p w14:paraId="26A53B21" w14:textId="77777777" w:rsidR="00DE3574" w:rsidRPr="00CD50FF" w:rsidRDefault="00591140" w:rsidP="00470ACB">
                      <w:pP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CD50FF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CS0</w:t>
                      </w:r>
                      <w:r w:rsidR="00535892" w:rsidRPr="00EE5D0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253658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0C359A" w14:textId="77777777" w:rsidR="00DE3574" w:rsidRPr="00A00339" w:rsidRDefault="00DE3574" w:rsidP="00470ACB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8"/>
      </w:tblGrid>
      <w:tr w:rsidR="00DE3574" w:rsidRPr="00A00339" w14:paraId="0E7A1796" w14:textId="77777777">
        <w:trPr>
          <w:trHeight w:val="584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25712EDC" w14:textId="77777777" w:rsidR="00DE3574" w:rsidRPr="00A00339" w:rsidRDefault="003E2E30" w:rsidP="008B4998">
            <w:pPr>
              <w:tabs>
                <w:tab w:val="left" w:pos="0"/>
              </w:tabs>
              <w:ind w:right="11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del indicador</w:t>
            </w:r>
          </w:p>
          <w:p w14:paraId="021F8691" w14:textId="066D47DB" w:rsidR="008828A7" w:rsidRPr="00A00339" w:rsidRDefault="006A0939" w:rsidP="00CD5B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Tasa de a</w:t>
            </w:r>
            <w:r w:rsidR="00A9437E" w:rsidRPr="00A9437E">
              <w:rPr>
                <w:rFonts w:ascii="Arial" w:hAnsi="Arial" w:cs="Arial"/>
                <w:sz w:val="16"/>
                <w:szCs w:val="16"/>
              </w:rPr>
              <w:t>sistencia de la</w:t>
            </w:r>
            <w:r w:rsidR="00FE7457">
              <w:rPr>
                <w:rFonts w:ascii="Arial" w:hAnsi="Arial" w:cs="Arial"/>
                <w:sz w:val="16"/>
                <w:szCs w:val="16"/>
              </w:rPr>
              <w:t xml:space="preserve"> población</w:t>
            </w:r>
            <w:r w:rsidR="00A9437E" w:rsidRPr="00A9437E">
              <w:rPr>
                <w:rFonts w:ascii="Arial" w:hAnsi="Arial" w:cs="Arial"/>
                <w:sz w:val="16"/>
                <w:szCs w:val="16"/>
              </w:rPr>
              <w:t xml:space="preserve"> en edad </w:t>
            </w:r>
            <w:r w:rsidR="00C6062E">
              <w:rPr>
                <w:rFonts w:ascii="Arial" w:hAnsi="Arial" w:cs="Arial"/>
                <w:sz w:val="16"/>
                <w:szCs w:val="16"/>
              </w:rPr>
              <w:t xml:space="preserve">idónea </w:t>
            </w:r>
            <w:r w:rsidR="002167AB">
              <w:rPr>
                <w:rFonts w:ascii="Arial" w:hAnsi="Arial" w:cs="Arial"/>
                <w:sz w:val="16"/>
                <w:szCs w:val="16"/>
              </w:rPr>
              <w:t>par</w:t>
            </w:r>
            <w:r w:rsidR="00323557">
              <w:rPr>
                <w:rFonts w:ascii="Arial" w:hAnsi="Arial" w:cs="Arial"/>
                <w:sz w:val="16"/>
                <w:szCs w:val="16"/>
              </w:rPr>
              <w:t>a</w:t>
            </w:r>
            <w:r w:rsidR="00C866B3">
              <w:rPr>
                <w:rFonts w:ascii="Arial" w:hAnsi="Arial" w:cs="Arial"/>
                <w:sz w:val="16"/>
                <w:szCs w:val="16"/>
              </w:rPr>
              <w:t xml:space="preserve"> cursar</w:t>
            </w:r>
            <w:r w:rsidR="0032355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69DA">
              <w:rPr>
                <w:rFonts w:ascii="Arial" w:hAnsi="Arial" w:cs="Arial"/>
                <w:sz w:val="16"/>
                <w:szCs w:val="16"/>
              </w:rPr>
              <w:t xml:space="preserve">la </w:t>
            </w:r>
            <w:r w:rsidR="00323557">
              <w:rPr>
                <w:rFonts w:ascii="Arial" w:hAnsi="Arial" w:cs="Arial"/>
                <w:sz w:val="16"/>
                <w:szCs w:val="16"/>
              </w:rPr>
              <w:t xml:space="preserve">educación </w:t>
            </w:r>
            <w:r w:rsidR="00A9437E" w:rsidRPr="00A9437E">
              <w:rPr>
                <w:rFonts w:ascii="Arial" w:hAnsi="Arial" w:cs="Arial"/>
                <w:sz w:val="16"/>
                <w:szCs w:val="16"/>
              </w:rPr>
              <w:t xml:space="preserve">básica </w:t>
            </w:r>
            <w:r w:rsidR="00A42EBA">
              <w:rPr>
                <w:rFonts w:ascii="Arial" w:hAnsi="Arial" w:cs="Arial"/>
                <w:sz w:val="16"/>
                <w:szCs w:val="16"/>
              </w:rPr>
              <w:t xml:space="preserve">o </w:t>
            </w:r>
            <w:r w:rsidR="00A9437E" w:rsidRPr="00A9437E">
              <w:rPr>
                <w:rFonts w:ascii="Arial" w:hAnsi="Arial" w:cs="Arial"/>
                <w:sz w:val="16"/>
                <w:szCs w:val="16"/>
              </w:rPr>
              <w:t>media superior</w:t>
            </w:r>
          </w:p>
        </w:tc>
      </w:tr>
      <w:tr w:rsidR="00DE3574" w:rsidRPr="00A00339" w14:paraId="46F69C5D" w14:textId="77777777">
        <w:trPr>
          <w:trHeight w:val="506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7CE77DBA" w14:textId="77777777" w:rsidR="00DE3574" w:rsidRDefault="003E2E30" w:rsidP="008B49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Definición</w:t>
            </w:r>
          </w:p>
          <w:p w14:paraId="57CF4E2B" w14:textId="77777777" w:rsidR="00DE3574" w:rsidRPr="009367A7" w:rsidRDefault="00E741B6" w:rsidP="003924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4F03">
              <w:rPr>
                <w:rFonts w:ascii="Arial" w:hAnsi="Arial" w:cs="Arial"/>
                <w:sz w:val="16"/>
                <w:szCs w:val="16"/>
              </w:rPr>
              <w:t>Número de niños</w:t>
            </w:r>
            <w:r w:rsidR="00D51558">
              <w:rPr>
                <w:rFonts w:ascii="Arial" w:hAnsi="Arial" w:cs="Arial"/>
                <w:sz w:val="16"/>
                <w:szCs w:val="16"/>
              </w:rPr>
              <w:t xml:space="preserve"> y adolescentes</w:t>
            </w:r>
            <w:r w:rsidRPr="00094F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C47AD">
              <w:rPr>
                <w:rFonts w:ascii="Arial" w:hAnsi="Arial" w:cs="Arial"/>
                <w:sz w:val="16"/>
                <w:szCs w:val="16"/>
              </w:rPr>
              <w:t>de</w:t>
            </w:r>
            <w:r w:rsidRPr="00094F03">
              <w:rPr>
                <w:rFonts w:ascii="Arial" w:hAnsi="Arial" w:cs="Arial"/>
                <w:sz w:val="16"/>
                <w:szCs w:val="16"/>
              </w:rPr>
              <w:t xml:space="preserve">l grupo </w:t>
            </w:r>
            <w:r w:rsidR="00CC47AD">
              <w:rPr>
                <w:rFonts w:ascii="Arial" w:hAnsi="Arial" w:cs="Arial"/>
                <w:sz w:val="16"/>
                <w:szCs w:val="16"/>
              </w:rPr>
              <w:t xml:space="preserve">de edad </w:t>
            </w:r>
            <w:r w:rsidR="00CC47AD" w:rsidRPr="00CC47AD">
              <w:rPr>
                <w:rFonts w:ascii="Arial" w:hAnsi="Arial" w:cs="Arial"/>
                <w:i/>
                <w:sz w:val="16"/>
                <w:szCs w:val="16"/>
              </w:rPr>
              <w:t>ge</w:t>
            </w:r>
            <w:r w:rsidR="00CC47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811A4">
              <w:rPr>
                <w:rFonts w:ascii="Arial" w:hAnsi="Arial" w:cs="Arial"/>
                <w:sz w:val="16"/>
                <w:szCs w:val="16"/>
              </w:rPr>
              <w:t>que asisten a la escuela</w:t>
            </w:r>
            <w:r w:rsidRPr="00094F03">
              <w:rPr>
                <w:rFonts w:ascii="Arial" w:hAnsi="Arial" w:cs="Arial"/>
                <w:sz w:val="16"/>
                <w:szCs w:val="16"/>
              </w:rPr>
              <w:t xml:space="preserve"> por cada </w:t>
            </w:r>
            <w:r w:rsidR="00392463">
              <w:rPr>
                <w:rFonts w:ascii="Arial" w:hAnsi="Arial" w:cs="Arial"/>
                <w:sz w:val="16"/>
                <w:szCs w:val="16"/>
              </w:rPr>
              <w:t>cien</w:t>
            </w:r>
            <w:r w:rsidRPr="00094F0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E3574" w:rsidRPr="00A00339" w14:paraId="2E102B58" w14:textId="77777777">
        <w:trPr>
          <w:trHeight w:val="1530"/>
        </w:trPr>
        <w:tc>
          <w:tcPr>
            <w:tcW w:w="5000" w:type="pct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7DD98654" w14:textId="77777777" w:rsidR="00AB6F72" w:rsidRDefault="00D7548B" w:rsidP="00AB6F7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</w:t>
            </w:r>
            <w:r w:rsidR="00B508EE">
              <w:rPr>
                <w:rFonts w:ascii="Arial" w:hAnsi="Arial" w:cs="Arial"/>
                <w:b/>
                <w:sz w:val="16"/>
                <w:szCs w:val="16"/>
              </w:rPr>
              <w:t>ó</w:t>
            </w:r>
            <w:r w:rsidR="003E2E30">
              <w:rPr>
                <w:rFonts w:ascii="Arial" w:hAnsi="Arial" w:cs="Arial"/>
                <w:b/>
                <w:sz w:val="16"/>
                <w:szCs w:val="16"/>
              </w:rPr>
              <w:t>rmula de cálculo</w:t>
            </w:r>
          </w:p>
          <w:p w14:paraId="1D034FF6" w14:textId="6A0CA27D" w:rsidR="00AB6F72" w:rsidRPr="00094F03" w:rsidRDefault="004A43A2" w:rsidP="00AB6F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47AD">
              <w:rPr>
                <w:rFonts w:ascii="Arial" w:hAnsi="Arial" w:cs="Arial"/>
                <w:position w:val="-32"/>
                <w:sz w:val="16"/>
                <w:szCs w:val="16"/>
              </w:rPr>
              <w:object w:dxaOrig="920" w:dyaOrig="760" w14:anchorId="18884B6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45pt" o:ole="" fillcolor="window">
                  <v:imagedata r:id="rId9" o:title=""/>
                </v:shape>
                <o:OLEObject Type="Embed" ProgID="Equation.3" ShapeID="_x0000_i1025" DrawAspect="Content" ObjectID="_1620457604" r:id="rId10"/>
              </w:object>
            </w: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432"/>
              <w:gridCol w:w="7554"/>
            </w:tblGrid>
            <w:tr w:rsidR="001217B7" w:rsidRPr="00094F03" w14:paraId="1592BB81" w14:textId="77777777">
              <w:trPr>
                <w:trHeight w:val="6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</w:tcPr>
                <w:p w14:paraId="231F4532" w14:textId="77777777" w:rsidR="00AB6F72" w:rsidRPr="00094F03" w:rsidRDefault="00B934EA" w:rsidP="004335EB">
                  <w:pPr>
                    <w:jc w:val="center"/>
                    <w:rPr>
                      <w:rFonts w:ascii="Arial" w:hAnsi="Arial" w:cs="Arial"/>
                      <w:i/>
                      <w:position w:val="-6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position w:val="-6"/>
                      <w:sz w:val="20"/>
                      <w:szCs w:val="20"/>
                    </w:rPr>
                    <w:t>ge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AE44D1" w14:textId="76493B01" w:rsidR="00AB6F72" w:rsidRPr="004A6491" w:rsidRDefault="00EA587A" w:rsidP="00B6794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Grupos de edad: 3 a 5, 6 a 11, 12 a </w:t>
                  </w:r>
                  <w:r w:rsidR="00B934EA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  <w:r w:rsidR="00B67941">
                    <w:rPr>
                      <w:rFonts w:ascii="Arial" w:hAnsi="Arial" w:cs="Arial"/>
                      <w:sz w:val="16"/>
                      <w:szCs w:val="16"/>
                    </w:rPr>
                    <w:t xml:space="preserve"> y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15 a </w:t>
                  </w:r>
                  <w:r w:rsidR="00B934EA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  <w:r w:rsidR="0074203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934EA">
                    <w:rPr>
                      <w:rFonts w:ascii="Arial" w:hAnsi="Arial" w:cs="Arial"/>
                      <w:sz w:val="16"/>
                      <w:szCs w:val="16"/>
                    </w:rPr>
                    <w:t>años</w:t>
                  </w:r>
                  <w:r w:rsidR="00B67941">
                    <w:rPr>
                      <w:rFonts w:ascii="Arial" w:hAnsi="Arial" w:cs="Arial"/>
                      <w:sz w:val="16"/>
                      <w:szCs w:val="16"/>
                    </w:rPr>
                    <w:t xml:space="preserve"> (com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 información complementaria</w:t>
                  </w:r>
                  <w:r w:rsidR="00BC6A51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18 a </w:t>
                  </w:r>
                  <w:r w:rsidR="00B67941">
                    <w:rPr>
                      <w:rFonts w:ascii="Arial" w:hAnsi="Arial" w:cs="Arial"/>
                      <w:sz w:val="16"/>
                      <w:szCs w:val="16"/>
                    </w:rPr>
                    <w:t>24 años)</w:t>
                  </w:r>
                  <w:r w:rsidR="001217B7" w:rsidRPr="004A6491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1217B7" w:rsidRPr="00094F03" w14:paraId="21119CDD" w14:textId="77777777">
              <w:trPr>
                <w:trHeight w:val="6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</w:tcPr>
                <w:p w14:paraId="392FF279" w14:textId="77777777" w:rsidR="001217B7" w:rsidRPr="00094F03" w:rsidRDefault="00B934EA" w:rsidP="004335EB">
                  <w:pPr>
                    <w:jc w:val="center"/>
                    <w:rPr>
                      <w:rFonts w:ascii="Arial" w:hAnsi="Arial" w:cs="Arial"/>
                      <w:i/>
                      <w:position w:val="-6"/>
                      <w:sz w:val="20"/>
                      <w:szCs w:val="20"/>
                    </w:rPr>
                  </w:pPr>
                  <w:r w:rsidRPr="00B934EA">
                    <w:rPr>
                      <w:position w:val="-14"/>
                    </w:rPr>
                    <w:object w:dxaOrig="360" w:dyaOrig="400" w14:anchorId="3FC1DE33">
                      <v:shape id="_x0000_i1026" type="#_x0000_t75" style="width:18.75pt;height:21.75pt" o:ole="">
                        <v:imagedata r:id="rId11" o:title=""/>
                      </v:shape>
                      <o:OLEObject Type="Embed" ProgID="Equation.3" ShapeID="_x0000_i1026" DrawAspect="Content" ObjectID="_1620457605" r:id="rId12"/>
                    </w:obje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75D5AF" w14:textId="77777777" w:rsidR="00B934EA" w:rsidRPr="00B934EA" w:rsidRDefault="00B934EA" w:rsidP="001217B7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14:paraId="66939096" w14:textId="77777777" w:rsidR="001217B7" w:rsidRPr="004A6491" w:rsidRDefault="001217B7" w:rsidP="001217B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A6491">
                    <w:rPr>
                      <w:rFonts w:ascii="Arial" w:hAnsi="Arial" w:cs="Arial"/>
                      <w:sz w:val="16"/>
                      <w:szCs w:val="16"/>
                    </w:rPr>
                    <w:t xml:space="preserve">Población </w:t>
                  </w:r>
                  <w:r w:rsidR="00B934EA">
                    <w:rPr>
                      <w:rFonts w:ascii="Arial" w:hAnsi="Arial" w:cs="Arial"/>
                      <w:sz w:val="16"/>
                      <w:szCs w:val="16"/>
                    </w:rPr>
                    <w:t xml:space="preserve">que asiste a la escuela </w:t>
                  </w:r>
                  <w:r w:rsidR="003D719C" w:rsidRPr="004A6491">
                    <w:rPr>
                      <w:rFonts w:ascii="Arial" w:hAnsi="Arial" w:cs="Arial"/>
                      <w:sz w:val="16"/>
                      <w:szCs w:val="16"/>
                    </w:rPr>
                    <w:t xml:space="preserve">en </w:t>
                  </w:r>
                  <w:r w:rsidR="00B7253D">
                    <w:rPr>
                      <w:rFonts w:ascii="Arial" w:hAnsi="Arial" w:cs="Arial"/>
                      <w:sz w:val="16"/>
                      <w:szCs w:val="16"/>
                    </w:rPr>
                    <w:t xml:space="preserve">el grupo de </w:t>
                  </w:r>
                  <w:r w:rsidR="003D719C" w:rsidRPr="004A6491">
                    <w:rPr>
                      <w:rFonts w:ascii="Arial" w:hAnsi="Arial" w:cs="Arial"/>
                      <w:sz w:val="16"/>
                      <w:szCs w:val="16"/>
                    </w:rPr>
                    <w:t xml:space="preserve">edad </w:t>
                  </w:r>
                  <w:r w:rsidR="00B934EA" w:rsidRPr="00B934EA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  <w:r w:rsidR="00B934EA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14:paraId="461EA7A1" w14:textId="77777777" w:rsidR="006A12C0" w:rsidRPr="004A6491" w:rsidRDefault="006A12C0" w:rsidP="00A2779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217B7" w:rsidRPr="00A00339" w14:paraId="043BAF55" w14:textId="77777777">
              <w:trPr>
                <w:trHeight w:val="6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28" w:type="dxa"/>
                    <w:right w:w="28" w:type="dxa"/>
                  </w:tcMar>
                </w:tcPr>
                <w:p w14:paraId="3BBB87CD" w14:textId="77777777" w:rsidR="001217B7" w:rsidRPr="00094F03" w:rsidRDefault="00B934EA" w:rsidP="004335EB">
                  <w:pPr>
                    <w:jc w:val="center"/>
                  </w:pPr>
                  <w:r w:rsidRPr="00B934EA">
                    <w:rPr>
                      <w:position w:val="-14"/>
                    </w:rPr>
                    <w:object w:dxaOrig="360" w:dyaOrig="380" w14:anchorId="0B762951">
                      <v:shape id="_x0000_i1027" type="#_x0000_t75" style="width:18.75pt;height:18.75pt" o:ole="">
                        <v:imagedata r:id="rId13" o:title=""/>
                      </v:shape>
                      <o:OLEObject Type="Embed" ProgID="Equation.3" ShapeID="_x0000_i1027" DrawAspect="Content" ObjectID="_1620457606" r:id="rId14"/>
                    </w:obje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55A22F" w14:textId="77777777" w:rsidR="001217B7" w:rsidRPr="004A6491" w:rsidRDefault="001217B7" w:rsidP="00B7253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A6491">
                    <w:rPr>
                      <w:rFonts w:ascii="Arial" w:hAnsi="Arial" w:cs="Arial"/>
                      <w:sz w:val="16"/>
                      <w:szCs w:val="16"/>
                    </w:rPr>
                    <w:t xml:space="preserve">Población </w:t>
                  </w:r>
                  <w:r w:rsidR="00667460">
                    <w:rPr>
                      <w:rFonts w:ascii="Arial" w:hAnsi="Arial" w:cs="Arial"/>
                      <w:sz w:val="16"/>
                      <w:szCs w:val="16"/>
                    </w:rPr>
                    <w:t xml:space="preserve">total </w:t>
                  </w:r>
                  <w:r w:rsidR="003D719C" w:rsidRPr="004A6491">
                    <w:rPr>
                      <w:rFonts w:ascii="Arial" w:hAnsi="Arial" w:cs="Arial"/>
                      <w:sz w:val="16"/>
                      <w:szCs w:val="16"/>
                    </w:rPr>
                    <w:t xml:space="preserve">en </w:t>
                  </w:r>
                  <w:r w:rsidR="00B7253D">
                    <w:rPr>
                      <w:rFonts w:ascii="Arial" w:hAnsi="Arial" w:cs="Arial"/>
                      <w:sz w:val="16"/>
                      <w:szCs w:val="16"/>
                    </w:rPr>
                    <w:t>el grupo de e</w:t>
                  </w:r>
                  <w:r w:rsidR="003D719C" w:rsidRPr="004A6491">
                    <w:rPr>
                      <w:rFonts w:ascii="Arial" w:hAnsi="Arial" w:cs="Arial"/>
                      <w:sz w:val="16"/>
                      <w:szCs w:val="16"/>
                    </w:rPr>
                    <w:t xml:space="preserve">dad </w:t>
                  </w:r>
                  <w:r w:rsidR="00B934EA" w:rsidRPr="00B934EA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  <w:r w:rsidRPr="004A6491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00C20395" w14:textId="77777777" w:rsidR="00DE3574" w:rsidRPr="00056AC1" w:rsidRDefault="00DE3574" w:rsidP="008B49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3574" w:rsidRPr="00A00339" w14:paraId="7E7C607C" w14:textId="77777777">
        <w:trPr>
          <w:trHeight w:val="563"/>
        </w:trPr>
        <w:tc>
          <w:tcPr>
            <w:tcW w:w="5000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3D5B9BFF" w14:textId="77777777" w:rsidR="00DE3574" w:rsidRPr="00A00339" w:rsidRDefault="00DE3574" w:rsidP="008B4998">
            <w:pPr>
              <w:ind w:right="-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3574" w:rsidRPr="00A00339" w14:paraId="0236AEAB" w14:textId="77777777">
        <w:trPr>
          <w:trHeight w:val="62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14:paraId="048E6B4A" w14:textId="77777777" w:rsidR="00DE3574" w:rsidRPr="00094F03" w:rsidRDefault="003E2E30" w:rsidP="008B499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Interpretación</w:t>
            </w:r>
          </w:p>
          <w:p w14:paraId="0E16D38C" w14:textId="296A3F8D" w:rsidR="004474F1" w:rsidRDefault="004665D6" w:rsidP="004474F1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r w:rsidRPr="004665D6">
              <w:rPr>
                <w:rFonts w:cs="Arial"/>
                <w:sz w:val="16"/>
                <w:szCs w:val="16"/>
              </w:rPr>
              <w:t>El indicador mide la tasa de asistencia escolar para los grupos de edad 3 a 5, 6 a 11, 12 a 14 y 15 a 17 años</w:t>
            </w:r>
            <w:r w:rsidR="004474F1">
              <w:rPr>
                <w:rFonts w:cs="Arial"/>
                <w:sz w:val="16"/>
                <w:szCs w:val="16"/>
              </w:rPr>
              <w:t xml:space="preserve"> (como información complementaria: 18 a 24 años)</w:t>
            </w:r>
            <w:r w:rsidRPr="004665D6">
              <w:rPr>
                <w:rFonts w:cs="Arial"/>
                <w:sz w:val="16"/>
                <w:szCs w:val="16"/>
              </w:rPr>
              <w:t xml:space="preserve">. </w:t>
            </w:r>
            <w:r w:rsidRPr="006B69DA">
              <w:rPr>
                <w:rFonts w:cs="Arial"/>
                <w:sz w:val="16"/>
                <w:szCs w:val="16"/>
              </w:rPr>
              <w:t xml:space="preserve">En la medida </w:t>
            </w:r>
            <w:r w:rsidR="0066391D" w:rsidRPr="006B69DA">
              <w:rPr>
                <w:rFonts w:cs="Arial"/>
                <w:sz w:val="16"/>
                <w:szCs w:val="16"/>
              </w:rPr>
              <w:t xml:space="preserve">en </w:t>
            </w:r>
            <w:r w:rsidRPr="006B69DA">
              <w:rPr>
                <w:rFonts w:cs="Arial"/>
                <w:sz w:val="16"/>
                <w:szCs w:val="16"/>
              </w:rPr>
              <w:t>que el</w:t>
            </w:r>
            <w:r w:rsidRPr="004665D6">
              <w:rPr>
                <w:rFonts w:cs="Arial"/>
                <w:sz w:val="16"/>
                <w:szCs w:val="16"/>
              </w:rPr>
              <w:t xml:space="preserve"> valor del indicador se </w:t>
            </w:r>
            <w:r w:rsidR="00937001">
              <w:rPr>
                <w:rFonts w:cs="Arial"/>
                <w:sz w:val="16"/>
                <w:szCs w:val="16"/>
              </w:rPr>
              <w:t>aproxime</w:t>
            </w:r>
            <w:r w:rsidR="00937001" w:rsidRPr="004665D6">
              <w:rPr>
                <w:rFonts w:cs="Arial"/>
                <w:sz w:val="16"/>
                <w:szCs w:val="16"/>
              </w:rPr>
              <w:t xml:space="preserve"> </w:t>
            </w:r>
            <w:r w:rsidRPr="004665D6">
              <w:rPr>
                <w:rFonts w:cs="Arial"/>
                <w:sz w:val="16"/>
                <w:szCs w:val="16"/>
              </w:rPr>
              <w:t>a 100%</w:t>
            </w:r>
            <w:r w:rsidR="0030032F">
              <w:rPr>
                <w:rFonts w:cs="Arial"/>
                <w:sz w:val="16"/>
                <w:szCs w:val="16"/>
              </w:rPr>
              <w:t>,</w:t>
            </w:r>
            <w:r w:rsidRPr="004665D6">
              <w:rPr>
                <w:rFonts w:cs="Arial"/>
                <w:sz w:val="16"/>
                <w:szCs w:val="16"/>
              </w:rPr>
              <w:t xml:space="preserve"> expresará un acercamiento al pleno acceso a la educación obligatoria</w:t>
            </w:r>
            <w:r w:rsidRPr="004474F1">
              <w:rPr>
                <w:rFonts w:cs="Arial"/>
                <w:sz w:val="16"/>
                <w:szCs w:val="16"/>
              </w:rPr>
              <w:t>.</w:t>
            </w:r>
            <w:r w:rsidR="004474F1" w:rsidRPr="002275E9">
              <w:rPr>
                <w:rFonts w:cs="Arial"/>
                <w:sz w:val="16"/>
                <w:szCs w:val="16"/>
              </w:rPr>
              <w:t xml:space="preserve"> En el caso de la tasa de asistencia escolar del grupo de 18 a 24 años, ésta da idea acerca de la proporción de jóvenes que podrían estar aún en el subsistema de educación media superior o incluso estar asistiendo a la educación superior</w:t>
            </w:r>
            <w:r w:rsidR="004474F1" w:rsidRPr="004474F1">
              <w:rPr>
                <w:rFonts w:cs="Arial"/>
                <w:sz w:val="16"/>
                <w:szCs w:val="16"/>
              </w:rPr>
              <w:t>.</w:t>
            </w:r>
            <w:r w:rsidR="004474F1">
              <w:rPr>
                <w:rFonts w:cs="Arial"/>
                <w:sz w:val="16"/>
                <w:szCs w:val="16"/>
              </w:rPr>
              <w:t xml:space="preserve"> </w:t>
            </w:r>
          </w:p>
          <w:p w14:paraId="6F551886" w14:textId="4394F2D1" w:rsidR="0030032F" w:rsidRDefault="0030032F" w:rsidP="004665D6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</w:p>
          <w:p w14:paraId="66B69B45" w14:textId="3AB949D4" w:rsidR="004665D6" w:rsidRDefault="004665D6" w:rsidP="004665D6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</w:p>
          <w:p w14:paraId="066F9869" w14:textId="20F55994" w:rsidR="00DE3574" w:rsidRPr="00094F03" w:rsidRDefault="004665D6" w:rsidP="00B2186A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r w:rsidRPr="004665D6">
              <w:rPr>
                <w:rFonts w:cs="Arial"/>
                <w:sz w:val="16"/>
                <w:szCs w:val="16"/>
              </w:rPr>
              <w:t>Al comparar subpoblaciones, si los valores del indicador resultan menores para los grupos vulnerables (rura</w:t>
            </w:r>
            <w:r w:rsidR="00292811">
              <w:rPr>
                <w:rFonts w:cs="Arial"/>
                <w:sz w:val="16"/>
                <w:szCs w:val="16"/>
              </w:rPr>
              <w:t>les, pobres, altamente marginado</w:t>
            </w:r>
            <w:r w:rsidRPr="004665D6">
              <w:rPr>
                <w:rFonts w:cs="Arial"/>
                <w:sz w:val="16"/>
                <w:szCs w:val="16"/>
              </w:rPr>
              <w:t>s, indígenas) en comparación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2167AB">
              <w:rPr>
                <w:rFonts w:cs="Arial"/>
                <w:sz w:val="16"/>
                <w:szCs w:val="16"/>
              </w:rPr>
              <w:t>con sus contrapartes (urbanos, no pobres, menos marginado</w:t>
            </w:r>
            <w:r w:rsidRPr="004665D6">
              <w:rPr>
                <w:rFonts w:cs="Arial"/>
                <w:sz w:val="16"/>
                <w:szCs w:val="16"/>
              </w:rPr>
              <w:t>s y</w:t>
            </w:r>
            <w:r w:rsidR="00B2186A">
              <w:rPr>
                <w:rFonts w:cs="Arial"/>
                <w:sz w:val="16"/>
                <w:szCs w:val="16"/>
              </w:rPr>
              <w:t xml:space="preserve"> resto de la población</w:t>
            </w:r>
            <w:r w:rsidRPr="004665D6">
              <w:rPr>
                <w:rFonts w:cs="Arial"/>
                <w:sz w:val="16"/>
                <w:szCs w:val="16"/>
              </w:rPr>
              <w:t xml:space="preserve">), se estarían señalando dificultades para el cumplimiento de los objetivos de equidad que tiene el </w:t>
            </w:r>
            <w:r w:rsidR="002618AA">
              <w:rPr>
                <w:rFonts w:cs="Arial"/>
                <w:sz w:val="16"/>
                <w:szCs w:val="16"/>
              </w:rPr>
              <w:t>SEN</w:t>
            </w:r>
            <w:r w:rsidRPr="004665D6">
              <w:rPr>
                <w:rFonts w:cs="Arial"/>
                <w:sz w:val="16"/>
                <w:szCs w:val="16"/>
              </w:rPr>
              <w:t>.</w:t>
            </w:r>
          </w:p>
        </w:tc>
      </w:tr>
      <w:tr w:rsidR="00DE3574" w:rsidRPr="00A00339" w14:paraId="664543C2" w14:textId="77777777">
        <w:trPr>
          <w:trHeight w:val="32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06D78448" w14:textId="77777777" w:rsidR="00DE3574" w:rsidRPr="00094F03" w:rsidRDefault="003E2E30" w:rsidP="008B499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Utilidad</w:t>
            </w:r>
          </w:p>
          <w:p w14:paraId="14FA6D71" w14:textId="091AEF38" w:rsidR="00DE3574" w:rsidRPr="00094F03" w:rsidRDefault="00BA6574" w:rsidP="002618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4F03">
              <w:rPr>
                <w:rFonts w:ascii="Arial" w:hAnsi="Arial" w:cs="Arial"/>
                <w:sz w:val="16"/>
                <w:szCs w:val="16"/>
              </w:rPr>
              <w:t xml:space="preserve">El </w:t>
            </w:r>
            <w:r w:rsidR="004665D6" w:rsidRPr="004665D6">
              <w:rPr>
                <w:rFonts w:ascii="Arial" w:hAnsi="Arial" w:cs="Arial"/>
                <w:sz w:val="16"/>
                <w:szCs w:val="16"/>
              </w:rPr>
              <w:t>indicador da idea de la eficacia del sistema educativo, en</w:t>
            </w:r>
            <w:r w:rsidR="004665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665D6" w:rsidRPr="004665D6">
              <w:rPr>
                <w:rFonts w:ascii="Arial" w:hAnsi="Arial" w:cs="Arial"/>
                <w:sz w:val="16"/>
                <w:szCs w:val="16"/>
              </w:rPr>
              <w:t>combinación con el sistema social, para propiciar que toda</w:t>
            </w:r>
            <w:r w:rsidR="004665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167AB">
              <w:rPr>
                <w:rFonts w:ascii="Arial" w:hAnsi="Arial" w:cs="Arial"/>
                <w:sz w:val="16"/>
                <w:szCs w:val="16"/>
              </w:rPr>
              <w:t>la población en edad</w:t>
            </w:r>
            <w:r w:rsidR="00C6062E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="00C6062E">
              <w:rPr>
                <w:rFonts w:ascii="Arial" w:hAnsi="Arial" w:cs="Arial"/>
                <w:sz w:val="16"/>
                <w:szCs w:val="16"/>
              </w:rPr>
              <w:t>idónea</w:t>
            </w:r>
            <w:r w:rsidR="004665D6" w:rsidRPr="00EE5D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665D6" w:rsidRPr="004665D6">
              <w:rPr>
                <w:rFonts w:ascii="Arial" w:hAnsi="Arial" w:cs="Arial"/>
                <w:sz w:val="16"/>
                <w:szCs w:val="16"/>
              </w:rPr>
              <w:t>ejerza su derecho a</w:t>
            </w:r>
            <w:r w:rsidR="004665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665D6" w:rsidRPr="004665D6">
              <w:rPr>
                <w:rFonts w:ascii="Arial" w:hAnsi="Arial" w:cs="Arial"/>
                <w:sz w:val="16"/>
                <w:szCs w:val="16"/>
              </w:rPr>
              <w:t xml:space="preserve">la educación obligatoria. También permite valorar en qué medida el </w:t>
            </w:r>
            <w:r w:rsidR="002618AA">
              <w:rPr>
                <w:rFonts w:ascii="Arial" w:hAnsi="Arial" w:cs="Arial"/>
                <w:sz w:val="16"/>
                <w:szCs w:val="16"/>
              </w:rPr>
              <w:t>SEN</w:t>
            </w:r>
            <w:r w:rsidR="004665D6" w:rsidRPr="004665D6">
              <w:rPr>
                <w:rFonts w:ascii="Arial" w:hAnsi="Arial" w:cs="Arial"/>
                <w:sz w:val="16"/>
                <w:szCs w:val="16"/>
              </w:rPr>
              <w:t xml:space="preserve"> está</w:t>
            </w:r>
            <w:r w:rsidR="004665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665D6" w:rsidRPr="004665D6">
              <w:rPr>
                <w:rFonts w:ascii="Arial" w:hAnsi="Arial" w:cs="Arial"/>
                <w:sz w:val="16"/>
                <w:szCs w:val="16"/>
              </w:rPr>
              <w:t xml:space="preserve">cumpliendo sus objetivos de </w:t>
            </w:r>
            <w:r w:rsidR="008F59A2" w:rsidRPr="00094F03">
              <w:rPr>
                <w:rFonts w:ascii="Arial" w:hAnsi="Arial" w:cs="Arial"/>
                <w:sz w:val="16"/>
                <w:szCs w:val="16"/>
              </w:rPr>
              <w:t>equidad.</w:t>
            </w:r>
          </w:p>
        </w:tc>
      </w:tr>
      <w:tr w:rsidR="00DE3574" w:rsidRPr="00A00339" w14:paraId="787906AF" w14:textId="77777777">
        <w:trPr>
          <w:trHeight w:val="32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0A455185" w14:textId="37CD6577" w:rsidR="00DE3574" w:rsidRPr="00A00339" w:rsidRDefault="00DE3574" w:rsidP="008B499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00339">
              <w:rPr>
                <w:rFonts w:ascii="Arial" w:hAnsi="Arial" w:cs="Arial"/>
                <w:b/>
                <w:sz w:val="16"/>
                <w:szCs w:val="16"/>
              </w:rPr>
              <w:t>Ofrece elementos para evaluar las sig</w:t>
            </w:r>
            <w:r w:rsidR="00D84B08">
              <w:rPr>
                <w:rFonts w:ascii="Arial" w:hAnsi="Arial" w:cs="Arial"/>
                <w:b/>
                <w:sz w:val="16"/>
                <w:szCs w:val="16"/>
              </w:rPr>
              <w:t xml:space="preserve">uientes dimensiones de </w:t>
            </w:r>
            <w:r w:rsidR="00584EBC">
              <w:rPr>
                <w:rFonts w:ascii="Arial" w:hAnsi="Arial" w:cs="Arial"/>
                <w:b/>
                <w:sz w:val="16"/>
                <w:szCs w:val="16"/>
              </w:rPr>
              <w:t xml:space="preserve">la </w:t>
            </w:r>
            <w:r w:rsidR="00D84B08">
              <w:rPr>
                <w:rFonts w:ascii="Arial" w:hAnsi="Arial" w:cs="Arial"/>
                <w:b/>
                <w:sz w:val="16"/>
                <w:szCs w:val="16"/>
              </w:rPr>
              <w:t xml:space="preserve">calidad </w:t>
            </w:r>
            <w:r w:rsidR="003E2E30">
              <w:rPr>
                <w:rFonts w:ascii="Arial" w:hAnsi="Arial" w:cs="Arial"/>
                <w:b/>
                <w:sz w:val="16"/>
                <w:szCs w:val="16"/>
              </w:rPr>
              <w:t>educativa</w:t>
            </w:r>
          </w:p>
          <w:p w14:paraId="205503A1" w14:textId="50DCE718" w:rsidR="00DE3574" w:rsidRPr="00A00339" w:rsidRDefault="00411893" w:rsidP="00F14A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Eficacia </w:t>
            </w:r>
            <w:r w:rsidR="00D7548B">
              <w:rPr>
                <w:rFonts w:ascii="Arial" w:hAnsi="Arial" w:cs="Arial"/>
                <w:sz w:val="16"/>
                <w:szCs w:val="16"/>
              </w:rPr>
              <w:t>y equidad</w:t>
            </w:r>
          </w:p>
        </w:tc>
      </w:tr>
      <w:tr w:rsidR="00DE3574" w:rsidRPr="00A00339" w14:paraId="73773A79" w14:textId="77777777">
        <w:trPr>
          <w:trHeight w:val="16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</w:tcPr>
          <w:p w14:paraId="5602678D" w14:textId="77777777" w:rsidR="00DE3574" w:rsidRPr="00A00339" w:rsidRDefault="003E2E30" w:rsidP="008954D3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Desagregación</w:t>
            </w:r>
          </w:p>
          <w:p w14:paraId="354B6F5B" w14:textId="74DD3FFE" w:rsidR="00DE3574" w:rsidRDefault="00535892" w:rsidP="007F775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5D0A">
              <w:rPr>
                <w:rFonts w:ascii="Arial" w:hAnsi="Arial" w:cs="Arial"/>
                <w:sz w:val="16"/>
                <w:szCs w:val="16"/>
              </w:rPr>
              <w:t>S</w:t>
            </w:r>
            <w:r w:rsidR="00AB2913">
              <w:rPr>
                <w:rFonts w:ascii="Arial" w:hAnsi="Arial" w:cs="Arial"/>
                <w:sz w:val="16"/>
                <w:szCs w:val="16"/>
              </w:rPr>
              <w:t>ubpoblaciones seleccionadas</w:t>
            </w:r>
            <w:r w:rsidR="007A717F">
              <w:rPr>
                <w:rFonts w:ascii="Arial" w:hAnsi="Arial" w:cs="Arial"/>
                <w:sz w:val="16"/>
                <w:szCs w:val="16"/>
              </w:rPr>
              <w:t>:</w:t>
            </w:r>
            <w:r w:rsidR="00AB2913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="00DE357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E3574" w:rsidRPr="00A54A83">
              <w:rPr>
                <w:rFonts w:ascii="Arial" w:hAnsi="Arial" w:cs="Arial"/>
                <w:sz w:val="16"/>
                <w:szCs w:val="16"/>
              </w:rPr>
              <w:t>sexo</w:t>
            </w:r>
            <w:r w:rsidR="00A54A83">
              <w:rPr>
                <w:rFonts w:ascii="Arial" w:hAnsi="Arial" w:cs="Arial"/>
                <w:sz w:val="16"/>
                <w:szCs w:val="16"/>
              </w:rPr>
              <w:t xml:space="preserve"> (hombres y mujeres)</w:t>
            </w:r>
            <w:r w:rsidR="005A436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11893">
              <w:rPr>
                <w:rFonts w:ascii="Arial" w:hAnsi="Arial" w:cs="Arial"/>
                <w:sz w:val="16"/>
                <w:szCs w:val="16"/>
              </w:rPr>
              <w:t xml:space="preserve">tamaño de localidad (rural, semiurbana y urbana), </w:t>
            </w:r>
            <w:r w:rsidR="0049354F">
              <w:rPr>
                <w:rFonts w:ascii="Arial" w:hAnsi="Arial" w:cs="Arial"/>
                <w:sz w:val="16"/>
                <w:szCs w:val="16"/>
              </w:rPr>
              <w:t>condición</w:t>
            </w:r>
            <w:r w:rsidR="004A43A2">
              <w:rPr>
                <w:rFonts w:ascii="Arial" w:hAnsi="Arial" w:cs="Arial"/>
                <w:sz w:val="16"/>
                <w:szCs w:val="16"/>
              </w:rPr>
              <w:t xml:space="preserve"> étnica</w:t>
            </w:r>
            <w:r w:rsidR="00B47C0D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F11E96">
              <w:rPr>
                <w:rFonts w:ascii="Arial" w:hAnsi="Arial" w:cs="Arial"/>
                <w:sz w:val="16"/>
                <w:szCs w:val="16"/>
              </w:rPr>
              <w:t>p</w:t>
            </w:r>
            <w:r w:rsidR="0049354F">
              <w:rPr>
                <w:rFonts w:ascii="Arial" w:hAnsi="Arial" w:cs="Arial"/>
                <w:sz w:val="16"/>
                <w:szCs w:val="16"/>
              </w:rPr>
              <w:t xml:space="preserve">oblación </w:t>
            </w:r>
            <w:r w:rsidR="00B47C0D">
              <w:rPr>
                <w:rFonts w:ascii="Arial" w:hAnsi="Arial" w:cs="Arial"/>
                <w:sz w:val="16"/>
                <w:szCs w:val="16"/>
              </w:rPr>
              <w:t>indígena</w:t>
            </w:r>
            <w:r w:rsidR="00A54A83" w:rsidRPr="00A54A83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="00B47C0D">
              <w:rPr>
                <w:rFonts w:ascii="Arial" w:hAnsi="Arial" w:cs="Arial"/>
                <w:sz w:val="16"/>
                <w:szCs w:val="16"/>
              </w:rPr>
              <w:t xml:space="preserve"> y </w:t>
            </w:r>
            <w:r w:rsidR="0049354F">
              <w:rPr>
                <w:rFonts w:ascii="Arial" w:hAnsi="Arial" w:cs="Arial"/>
                <w:sz w:val="16"/>
                <w:szCs w:val="16"/>
              </w:rPr>
              <w:t>resto de la población</w:t>
            </w:r>
            <w:r w:rsidR="00B47C0D">
              <w:rPr>
                <w:rFonts w:ascii="Arial" w:hAnsi="Arial" w:cs="Arial"/>
                <w:sz w:val="16"/>
                <w:szCs w:val="16"/>
              </w:rPr>
              <w:t>),</w:t>
            </w:r>
            <w:r w:rsidR="004935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2421">
              <w:rPr>
                <w:rFonts w:ascii="Arial" w:hAnsi="Arial" w:cs="Arial"/>
                <w:sz w:val="16"/>
                <w:szCs w:val="16"/>
              </w:rPr>
              <w:t xml:space="preserve">tipo de condición (con discapacidad y sin discapacidad), </w:t>
            </w:r>
            <w:r w:rsidR="00AB2913" w:rsidRPr="00A54A83">
              <w:rPr>
                <w:rFonts w:ascii="Arial" w:hAnsi="Arial" w:cs="Arial"/>
                <w:sz w:val="16"/>
                <w:szCs w:val="16"/>
              </w:rPr>
              <w:t>nivel de escolaridad del jefe de hogar</w:t>
            </w:r>
            <w:r w:rsidR="00A54A83" w:rsidRPr="00A54A83">
              <w:rPr>
                <w:rFonts w:ascii="Arial" w:hAnsi="Arial" w:cs="Arial"/>
                <w:sz w:val="16"/>
                <w:szCs w:val="16"/>
              </w:rPr>
              <w:t xml:space="preserve"> (sin</w:t>
            </w:r>
            <w:r w:rsidR="00A54A83">
              <w:rPr>
                <w:rFonts w:ascii="Arial" w:hAnsi="Arial" w:cs="Arial"/>
                <w:sz w:val="16"/>
                <w:szCs w:val="16"/>
              </w:rPr>
              <w:t xml:space="preserve"> instrucción, básica incompleta, básica co</w:t>
            </w:r>
            <w:bookmarkStart w:id="0" w:name="_GoBack"/>
            <w:bookmarkEnd w:id="0"/>
            <w:r w:rsidR="00A54A83">
              <w:rPr>
                <w:rFonts w:ascii="Arial" w:hAnsi="Arial" w:cs="Arial"/>
                <w:sz w:val="16"/>
                <w:szCs w:val="16"/>
              </w:rPr>
              <w:t>mpleta, media superior y superior)</w:t>
            </w:r>
            <w:r w:rsidR="00AB2913">
              <w:rPr>
                <w:rFonts w:ascii="Arial" w:hAnsi="Arial" w:cs="Arial"/>
                <w:sz w:val="16"/>
                <w:szCs w:val="16"/>
              </w:rPr>
              <w:t xml:space="preserve">, marginación (alta y baja), </w:t>
            </w:r>
            <w:r w:rsidR="00C3793D" w:rsidRPr="00A54A83">
              <w:rPr>
                <w:rFonts w:ascii="Arial" w:hAnsi="Arial" w:cs="Arial"/>
                <w:sz w:val="16"/>
                <w:szCs w:val="16"/>
              </w:rPr>
              <w:t xml:space="preserve">según </w:t>
            </w:r>
            <w:r w:rsidR="00546402" w:rsidRPr="00A54A83">
              <w:rPr>
                <w:rFonts w:ascii="Arial" w:hAnsi="Arial" w:cs="Arial"/>
                <w:sz w:val="16"/>
                <w:szCs w:val="16"/>
              </w:rPr>
              <w:t>ingreso</w:t>
            </w:r>
            <w:r w:rsidR="00A54A83" w:rsidRPr="00A54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46402" w:rsidRPr="00A54A83">
              <w:rPr>
                <w:rFonts w:ascii="Arial" w:hAnsi="Arial" w:cs="Arial"/>
                <w:sz w:val="16"/>
                <w:szCs w:val="16"/>
              </w:rPr>
              <w:t>respecto a la línea de bienestar mínimo</w:t>
            </w:r>
            <w:r w:rsidR="00A54A83">
              <w:rPr>
                <w:rFonts w:ascii="Arial" w:hAnsi="Arial" w:cs="Arial"/>
                <w:sz w:val="16"/>
                <w:szCs w:val="16"/>
              </w:rPr>
              <w:t xml:space="preserve"> (inferior, superior o igual)</w:t>
            </w:r>
            <w:r w:rsidR="00546402" w:rsidRPr="0038539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3793D" w:rsidRPr="00A54A83">
              <w:rPr>
                <w:rFonts w:ascii="Arial" w:hAnsi="Arial" w:cs="Arial"/>
                <w:sz w:val="16"/>
                <w:szCs w:val="16"/>
              </w:rPr>
              <w:t xml:space="preserve">según </w:t>
            </w:r>
            <w:r w:rsidR="00546402" w:rsidRPr="00A54A83">
              <w:rPr>
                <w:rFonts w:ascii="Arial" w:hAnsi="Arial" w:cs="Arial"/>
                <w:sz w:val="16"/>
                <w:szCs w:val="16"/>
              </w:rPr>
              <w:t>ingreso respecto a la línea de bienestar</w:t>
            </w:r>
            <w:r w:rsidR="00A54A83">
              <w:rPr>
                <w:rFonts w:ascii="Arial" w:hAnsi="Arial" w:cs="Arial"/>
                <w:sz w:val="16"/>
                <w:szCs w:val="16"/>
              </w:rPr>
              <w:t xml:space="preserve"> (inferior, superior o igual)</w:t>
            </w:r>
            <w:r w:rsidR="00546402" w:rsidRPr="0038539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2741E" w:rsidRPr="0038539F">
              <w:rPr>
                <w:rFonts w:ascii="Arial" w:hAnsi="Arial" w:cs="Arial"/>
                <w:sz w:val="16"/>
                <w:szCs w:val="16"/>
              </w:rPr>
              <w:t>condición</w:t>
            </w:r>
            <w:r w:rsidR="00411893" w:rsidRPr="0038539F">
              <w:rPr>
                <w:rFonts w:ascii="Arial" w:hAnsi="Arial" w:cs="Arial"/>
                <w:sz w:val="16"/>
                <w:szCs w:val="16"/>
              </w:rPr>
              <w:t xml:space="preserve"> de pobreza (</w:t>
            </w:r>
            <w:r w:rsidR="00C3793D">
              <w:rPr>
                <w:rFonts w:ascii="Arial" w:hAnsi="Arial" w:cs="Arial"/>
                <w:sz w:val="16"/>
                <w:szCs w:val="16"/>
              </w:rPr>
              <w:t xml:space="preserve">pobreza, </w:t>
            </w:r>
            <w:r w:rsidR="00546402" w:rsidRPr="0038539F">
              <w:rPr>
                <w:rFonts w:ascii="Arial" w:hAnsi="Arial" w:cs="Arial"/>
                <w:sz w:val="16"/>
                <w:szCs w:val="16"/>
              </w:rPr>
              <w:t>pobreza extrema, pobreza moderada, vulnerable por carencias, vulnerable por ingresos, no pobre y no vulnerable</w:t>
            </w:r>
            <w:r w:rsidR="00546402" w:rsidRPr="00A54A83"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4665D6" w:rsidRPr="00A54A83">
              <w:rPr>
                <w:rFonts w:ascii="Arial" w:hAnsi="Arial" w:cs="Arial"/>
                <w:sz w:val="16"/>
                <w:szCs w:val="16"/>
              </w:rPr>
              <w:t>quintil</w:t>
            </w:r>
            <w:r w:rsidR="0092741E" w:rsidRPr="00A54A83">
              <w:rPr>
                <w:rFonts w:ascii="Arial" w:hAnsi="Arial" w:cs="Arial"/>
                <w:sz w:val="16"/>
                <w:szCs w:val="16"/>
              </w:rPr>
              <w:t xml:space="preserve"> de ingreso</w:t>
            </w:r>
            <w:r w:rsidR="00A54A83" w:rsidRPr="00A54A83">
              <w:rPr>
                <w:rFonts w:ascii="Arial" w:hAnsi="Arial" w:cs="Arial"/>
                <w:sz w:val="16"/>
                <w:szCs w:val="16"/>
              </w:rPr>
              <w:t xml:space="preserve"> (I-V)</w:t>
            </w:r>
            <w:r w:rsidR="00AB2913" w:rsidRPr="00A54A83">
              <w:rPr>
                <w:rFonts w:ascii="Arial" w:hAnsi="Arial" w:cs="Arial"/>
                <w:sz w:val="16"/>
                <w:szCs w:val="16"/>
              </w:rPr>
              <w:t xml:space="preserve"> y</w:t>
            </w:r>
            <w:r w:rsidR="0092741E" w:rsidRPr="00A54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31EE3" w:rsidRPr="00A54A83">
              <w:rPr>
                <w:rFonts w:ascii="Arial" w:hAnsi="Arial" w:cs="Arial"/>
                <w:sz w:val="16"/>
                <w:szCs w:val="16"/>
              </w:rPr>
              <w:t xml:space="preserve">condición </w:t>
            </w:r>
            <w:r w:rsidR="0092741E" w:rsidRPr="00A54A83">
              <w:rPr>
                <w:rFonts w:ascii="Arial" w:hAnsi="Arial" w:cs="Arial"/>
                <w:sz w:val="16"/>
                <w:szCs w:val="16"/>
              </w:rPr>
              <w:t>de actividad</w:t>
            </w:r>
            <w:r w:rsidR="00A54A83" w:rsidRPr="00A54A83">
              <w:rPr>
                <w:rFonts w:ascii="Arial" w:hAnsi="Arial" w:cs="Arial"/>
                <w:sz w:val="16"/>
                <w:szCs w:val="16"/>
              </w:rPr>
              <w:t xml:space="preserve"> (trabajo </w:t>
            </w:r>
            <w:proofErr w:type="spellStart"/>
            <w:r w:rsidR="00A54A83" w:rsidRPr="00A54A83">
              <w:rPr>
                <w:rFonts w:ascii="Arial" w:hAnsi="Arial" w:cs="Arial"/>
                <w:sz w:val="16"/>
                <w:szCs w:val="16"/>
              </w:rPr>
              <w:t>extradoméstico</w:t>
            </w:r>
            <w:proofErr w:type="spellEnd"/>
            <w:r w:rsidR="00A54A83" w:rsidRPr="00A54A83">
              <w:rPr>
                <w:rFonts w:ascii="Arial" w:hAnsi="Arial" w:cs="Arial"/>
                <w:sz w:val="16"/>
                <w:szCs w:val="16"/>
              </w:rPr>
              <w:t xml:space="preserve"> ≥ 20 h, trabajo mixto ≥ 20 h, trabajo doméstico ≥ 20 h y no trabaja o &lt; 20 h)</w:t>
            </w:r>
            <w:r w:rsidR="00DE3574" w:rsidRPr="00A54A8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9FBB573" w14:textId="77777777" w:rsidR="00564DE7" w:rsidRDefault="00564DE7" w:rsidP="00564DE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0AFE04E" w14:textId="0B7FDE4E" w:rsidR="00A829CC" w:rsidRDefault="00A829CC" w:rsidP="00564DE7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564DE7" w:rsidRPr="002E4728">
              <w:rPr>
                <w:rFonts w:ascii="Arial" w:hAnsi="Arial" w:cs="Arial"/>
                <w:sz w:val="16"/>
                <w:szCs w:val="16"/>
              </w:rPr>
              <w:t>áximo nivel</w:t>
            </w:r>
            <w:r w:rsidR="002618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64DE7" w:rsidRPr="002E4728">
              <w:rPr>
                <w:rFonts w:ascii="Arial" w:hAnsi="Arial" w:cs="Arial"/>
                <w:sz w:val="16"/>
                <w:szCs w:val="16"/>
              </w:rPr>
              <w:t xml:space="preserve">de desagregación </w:t>
            </w:r>
            <w:r w:rsidR="00564DE7">
              <w:rPr>
                <w:rFonts w:ascii="Arial" w:hAnsi="Arial" w:cs="Arial"/>
                <w:sz w:val="16"/>
                <w:szCs w:val="16"/>
              </w:rPr>
              <w:t>para</w:t>
            </w:r>
            <w:r w:rsidR="00564DE7" w:rsidRPr="002E4728">
              <w:rPr>
                <w:rFonts w:ascii="Arial" w:hAnsi="Arial" w:cs="Arial"/>
                <w:sz w:val="16"/>
                <w:szCs w:val="16"/>
              </w:rPr>
              <w:t xml:space="preserve"> las subpoblaciones derivadas de la</w:t>
            </w:r>
            <w:r w:rsidR="009728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728EF" w:rsidRPr="00FF7D07">
              <w:rPr>
                <w:rFonts w:ascii="Arial" w:hAnsi="Arial" w:cs="Arial"/>
                <w:sz w:val="16"/>
                <w:szCs w:val="16"/>
              </w:rPr>
              <w:t>Encuesta Nacional de Ingresos y Gastos de los Hogares 2012</w:t>
            </w:r>
            <w:r w:rsidR="009728E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728EF" w:rsidRPr="00FF7D07">
              <w:rPr>
                <w:rFonts w:ascii="Arial" w:hAnsi="Arial" w:cs="Arial"/>
                <w:sz w:val="16"/>
                <w:szCs w:val="16"/>
              </w:rPr>
              <w:t xml:space="preserve">Módulo de Condiciones </w:t>
            </w:r>
            <w:r w:rsidR="009728EF" w:rsidRPr="002275E9">
              <w:rPr>
                <w:rFonts w:ascii="Arial" w:hAnsi="Arial" w:cs="Arial"/>
                <w:sz w:val="16"/>
                <w:szCs w:val="16"/>
              </w:rPr>
              <w:t>Socioeconómicas</w:t>
            </w:r>
            <w:r w:rsidR="00F22D2A" w:rsidRPr="002275E9">
              <w:rPr>
                <w:rFonts w:ascii="Arial" w:hAnsi="Arial" w:cs="Arial"/>
                <w:sz w:val="16"/>
                <w:szCs w:val="16"/>
              </w:rPr>
              <w:t>,</w:t>
            </w:r>
            <w:r w:rsidR="009728EF" w:rsidRPr="002275E9">
              <w:rPr>
                <w:rFonts w:ascii="Arial" w:hAnsi="Arial" w:cs="Arial"/>
                <w:sz w:val="16"/>
                <w:szCs w:val="16"/>
              </w:rPr>
              <w:t xml:space="preserve"> y la</w:t>
            </w:r>
            <w:r w:rsidR="00564DE7" w:rsidRPr="002275E9">
              <w:rPr>
                <w:rFonts w:ascii="Arial" w:hAnsi="Arial" w:cs="Arial"/>
                <w:sz w:val="16"/>
                <w:szCs w:val="16"/>
              </w:rPr>
              <w:t xml:space="preserve"> Encuesta Nacional de Ingresos y Gastos de los</w:t>
            </w:r>
            <w:r w:rsidR="004A68F4" w:rsidRPr="002275E9">
              <w:rPr>
                <w:rFonts w:ascii="Arial" w:hAnsi="Arial" w:cs="Arial"/>
                <w:sz w:val="16"/>
                <w:szCs w:val="16"/>
              </w:rPr>
              <w:t xml:space="preserve"> Hogares</w:t>
            </w:r>
            <w:r w:rsidR="002618AA" w:rsidRPr="002275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7E17" w:rsidRPr="002275E9">
              <w:rPr>
                <w:rFonts w:ascii="Arial" w:hAnsi="Arial" w:cs="Arial"/>
                <w:sz w:val="16"/>
                <w:szCs w:val="16"/>
              </w:rPr>
              <w:t>2016</w:t>
            </w:r>
            <w:r w:rsidRPr="002275E9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4A68F4" w:rsidRPr="002275E9">
              <w:rPr>
                <w:rFonts w:ascii="Arial" w:hAnsi="Arial" w:cs="Arial"/>
                <w:sz w:val="16"/>
                <w:szCs w:val="16"/>
              </w:rPr>
              <w:t>entidad federativa</w:t>
            </w:r>
            <w:r w:rsidRPr="002275E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E76FE0" w14:textId="77777777" w:rsidR="00A829CC" w:rsidRDefault="00A829CC" w:rsidP="00564DE7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86CC9E1" w14:textId="3AFE2284" w:rsidR="00564DE7" w:rsidRPr="002E4728" w:rsidRDefault="00A829CC" w:rsidP="00564DE7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2E4728">
              <w:rPr>
                <w:rFonts w:ascii="Arial" w:hAnsi="Arial" w:cs="Arial"/>
                <w:sz w:val="16"/>
                <w:szCs w:val="16"/>
              </w:rPr>
              <w:t>áximo nivel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E4728">
              <w:rPr>
                <w:rFonts w:ascii="Arial" w:hAnsi="Arial" w:cs="Arial"/>
                <w:sz w:val="16"/>
                <w:szCs w:val="16"/>
              </w:rPr>
              <w:t xml:space="preserve">de desagregación </w:t>
            </w:r>
            <w:r>
              <w:rPr>
                <w:rFonts w:ascii="Arial" w:hAnsi="Arial" w:cs="Arial"/>
                <w:sz w:val="16"/>
                <w:szCs w:val="16"/>
              </w:rPr>
              <w:t>para</w:t>
            </w:r>
            <w:r w:rsidRPr="002E4728">
              <w:rPr>
                <w:rFonts w:ascii="Arial" w:hAnsi="Arial" w:cs="Arial"/>
                <w:sz w:val="16"/>
                <w:szCs w:val="16"/>
              </w:rPr>
              <w:t xml:space="preserve"> las subpoblaciones derivadas de </w:t>
            </w:r>
            <w:r w:rsidR="00564DE7" w:rsidRPr="002E4728">
              <w:rPr>
                <w:rFonts w:ascii="Arial" w:hAnsi="Arial" w:cs="Arial"/>
                <w:sz w:val="16"/>
                <w:szCs w:val="16"/>
              </w:rPr>
              <w:t>la Encuesta Nacional de Ocupación y Empleo</w:t>
            </w:r>
            <w:r w:rsidR="002618AA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23B8E">
              <w:rPr>
                <w:rFonts w:ascii="Arial" w:hAnsi="Arial" w:cs="Arial"/>
                <w:sz w:val="16"/>
                <w:szCs w:val="16"/>
              </w:rPr>
              <w:t>2° trimestre de 201</w:t>
            </w:r>
            <w:r w:rsidR="009728EF">
              <w:rPr>
                <w:rFonts w:ascii="Arial" w:hAnsi="Arial" w:cs="Arial"/>
                <w:sz w:val="16"/>
                <w:szCs w:val="16"/>
              </w:rPr>
              <w:t>3 y 2018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564DE7" w:rsidRPr="002E4728">
              <w:rPr>
                <w:rFonts w:ascii="Arial" w:hAnsi="Arial" w:cs="Arial"/>
                <w:sz w:val="16"/>
                <w:szCs w:val="16"/>
              </w:rPr>
              <w:t xml:space="preserve">entidad federativa, 32 ciudades </w:t>
            </w:r>
            <w:proofErr w:type="spellStart"/>
            <w:r w:rsidR="00564DE7" w:rsidRPr="002E4728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autorrepresentadas</w:t>
            </w:r>
            <w:proofErr w:type="spellEnd"/>
            <w:r w:rsidR="00564DE7" w:rsidRPr="002E4728">
              <w:rPr>
                <w:rFonts w:ascii="Arial" w:hAnsi="Arial" w:cs="Arial"/>
                <w:sz w:val="16"/>
                <w:szCs w:val="16"/>
              </w:rPr>
              <w:t xml:space="preserve">, localidades de 100 </w:t>
            </w:r>
            <w:r>
              <w:rPr>
                <w:rFonts w:ascii="Arial" w:hAnsi="Arial" w:cs="Arial"/>
                <w:sz w:val="16"/>
                <w:szCs w:val="16"/>
              </w:rPr>
              <w:t>000</w:t>
            </w:r>
            <w:r w:rsidR="00FA3B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64DE7" w:rsidRPr="002E4728">
              <w:rPr>
                <w:rFonts w:ascii="Arial" w:hAnsi="Arial" w:cs="Arial"/>
                <w:sz w:val="16"/>
                <w:szCs w:val="16"/>
              </w:rPr>
              <w:t xml:space="preserve">y más habitantes, localidades de 15 </w:t>
            </w:r>
            <w:r>
              <w:rPr>
                <w:rFonts w:ascii="Arial" w:hAnsi="Arial" w:cs="Arial"/>
                <w:sz w:val="16"/>
                <w:szCs w:val="16"/>
              </w:rPr>
              <w:t>000</w:t>
            </w:r>
            <w:r w:rsidR="00564DE7" w:rsidRPr="002E4728">
              <w:rPr>
                <w:rFonts w:ascii="Arial" w:hAnsi="Arial" w:cs="Arial"/>
                <w:sz w:val="16"/>
                <w:szCs w:val="16"/>
              </w:rPr>
              <w:t xml:space="preserve"> a 99 999 habitantes, localidades de 2 500 a 14 999 habitantes y localidades de menos de 2 500 </w:t>
            </w:r>
            <w:r w:rsidR="004A68F4">
              <w:rPr>
                <w:rFonts w:ascii="Arial" w:hAnsi="Arial" w:cs="Arial"/>
                <w:sz w:val="16"/>
                <w:szCs w:val="16"/>
              </w:rPr>
              <w:t>habitantes</w:t>
            </w:r>
            <w:r w:rsidR="004A68F4" w:rsidRPr="004A68F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089930E" w14:textId="77777777" w:rsidR="00196C3E" w:rsidRPr="00A00339" w:rsidRDefault="00196C3E" w:rsidP="00056AC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DB6383" w14:textId="77777777" w:rsidR="00DE3574" w:rsidRPr="009C7230" w:rsidRDefault="00DE3574" w:rsidP="008954D3">
            <w:pPr>
              <w:spacing w:before="40"/>
              <w:ind w:right="108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A00339">
              <w:rPr>
                <w:rFonts w:ascii="Arial" w:hAnsi="Arial" w:cs="Arial"/>
                <w:b/>
                <w:sz w:val="16"/>
                <w:szCs w:val="16"/>
              </w:rPr>
              <w:t>Fuente</w:t>
            </w:r>
            <w:r w:rsidR="00A777C2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A00339">
              <w:rPr>
                <w:rFonts w:ascii="Arial" w:hAnsi="Arial" w:cs="Arial"/>
                <w:b/>
                <w:sz w:val="16"/>
                <w:szCs w:val="16"/>
              </w:rPr>
              <w:t xml:space="preserve"> de informació</w:t>
            </w:r>
            <w:r w:rsidR="00294C80">
              <w:rPr>
                <w:rFonts w:ascii="Arial" w:hAnsi="Arial" w:cs="Arial"/>
                <w:b/>
                <w:sz w:val="16"/>
                <w:szCs w:val="16"/>
              </w:rPr>
              <w:t>n</w:t>
            </w:r>
          </w:p>
          <w:p w14:paraId="3C8B34E9" w14:textId="77777777" w:rsidR="002557E3" w:rsidRDefault="002557E3" w:rsidP="002557E3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46B9937E" w14:textId="77777777" w:rsidR="00FF7D07" w:rsidRPr="00FF7D07" w:rsidRDefault="00FF7D07" w:rsidP="00FF7D0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9115F">
              <w:rPr>
                <w:rFonts w:ascii="Arial" w:hAnsi="Arial" w:cs="Arial"/>
                <w:smallCaps/>
                <w:sz w:val="16"/>
                <w:szCs w:val="16"/>
              </w:rPr>
              <w:t>Conapo</w:t>
            </w:r>
            <w:proofErr w:type="spellEnd"/>
            <w:r w:rsidRPr="00FF7D07">
              <w:rPr>
                <w:rFonts w:ascii="Arial" w:hAnsi="Arial" w:cs="Arial"/>
                <w:sz w:val="16"/>
                <w:szCs w:val="16"/>
              </w:rPr>
              <w:t xml:space="preserve"> (2015). Índice de Marginación por Municipio 2015 (base de datos).</w:t>
            </w:r>
          </w:p>
          <w:p w14:paraId="585C2A54" w14:textId="77777777" w:rsidR="00FF7D07" w:rsidRPr="00FF7D07" w:rsidRDefault="00FF7D07" w:rsidP="00FF7D07">
            <w:pPr>
              <w:rPr>
                <w:rFonts w:ascii="Arial" w:hAnsi="Arial" w:cs="Arial"/>
                <w:sz w:val="16"/>
                <w:szCs w:val="16"/>
              </w:rPr>
            </w:pPr>
            <w:r w:rsidRPr="00A9115F">
              <w:rPr>
                <w:rFonts w:ascii="Arial" w:hAnsi="Arial" w:cs="Arial"/>
                <w:smallCaps/>
                <w:sz w:val="16"/>
                <w:szCs w:val="16"/>
              </w:rPr>
              <w:t xml:space="preserve">Coneval </w:t>
            </w:r>
            <w:r w:rsidRPr="00FF7D07">
              <w:rPr>
                <w:rFonts w:ascii="Arial" w:hAnsi="Arial" w:cs="Arial"/>
                <w:sz w:val="16"/>
                <w:szCs w:val="16"/>
              </w:rPr>
              <w:t>(2013). Medición de la Pobreza en México 2012 (programa en Stata).</w:t>
            </w:r>
          </w:p>
          <w:p w14:paraId="62D0C562" w14:textId="77777777" w:rsidR="00FF7D07" w:rsidRPr="00FF7D07" w:rsidRDefault="00FF7D07" w:rsidP="00FF7D07">
            <w:pPr>
              <w:rPr>
                <w:rFonts w:ascii="Arial" w:hAnsi="Arial" w:cs="Arial"/>
                <w:sz w:val="16"/>
                <w:szCs w:val="16"/>
              </w:rPr>
            </w:pPr>
            <w:r w:rsidRPr="00A9115F">
              <w:rPr>
                <w:rFonts w:ascii="Arial" w:hAnsi="Arial" w:cs="Arial"/>
                <w:smallCaps/>
                <w:sz w:val="16"/>
                <w:szCs w:val="16"/>
              </w:rPr>
              <w:t>Coneval (</w:t>
            </w:r>
            <w:r w:rsidRPr="00FF7D07">
              <w:rPr>
                <w:rFonts w:ascii="Arial" w:hAnsi="Arial" w:cs="Arial"/>
                <w:sz w:val="16"/>
                <w:szCs w:val="16"/>
              </w:rPr>
              <w:t>2017). Medición de la Pobreza en México 2016 (programa en Stata).</w:t>
            </w:r>
          </w:p>
          <w:p w14:paraId="7E313DE1" w14:textId="16745B77" w:rsidR="00FF7D07" w:rsidRPr="00FF7D07" w:rsidRDefault="00FF7D07" w:rsidP="00FF7D07">
            <w:pPr>
              <w:rPr>
                <w:rFonts w:ascii="Arial" w:hAnsi="Arial" w:cs="Arial"/>
                <w:sz w:val="16"/>
                <w:szCs w:val="16"/>
              </w:rPr>
            </w:pPr>
            <w:r w:rsidRPr="002275E9">
              <w:rPr>
                <w:rFonts w:ascii="Arial" w:hAnsi="Arial" w:cs="Arial"/>
                <w:caps/>
                <w:sz w:val="16"/>
                <w:szCs w:val="16"/>
              </w:rPr>
              <w:t xml:space="preserve">Inegi </w:t>
            </w:r>
            <w:r w:rsidRPr="00FF7D07">
              <w:rPr>
                <w:rFonts w:ascii="Arial" w:hAnsi="Arial" w:cs="Arial"/>
                <w:sz w:val="16"/>
                <w:szCs w:val="16"/>
              </w:rPr>
              <w:t>(2013</w:t>
            </w:r>
            <w:r w:rsidR="0047526A">
              <w:rPr>
                <w:rFonts w:ascii="Arial" w:hAnsi="Arial" w:cs="Arial"/>
                <w:sz w:val="16"/>
                <w:szCs w:val="16"/>
              </w:rPr>
              <w:t>a</w:t>
            </w:r>
            <w:r w:rsidRPr="00FF7D07">
              <w:rPr>
                <w:rFonts w:ascii="Arial" w:hAnsi="Arial" w:cs="Arial"/>
                <w:sz w:val="16"/>
                <w:szCs w:val="16"/>
              </w:rPr>
              <w:t xml:space="preserve">). Encuesta Nacional de Ingresos y Gastos de los Hogares 2012, Módulo de Condiciones Socioeconómicas (base de </w:t>
            </w:r>
            <w:proofErr w:type="spellStart"/>
            <w:r w:rsidRPr="00FF7D07">
              <w:rPr>
                <w:rFonts w:ascii="Arial" w:hAnsi="Arial" w:cs="Arial"/>
                <w:sz w:val="16"/>
                <w:szCs w:val="16"/>
              </w:rPr>
              <w:t>microdatos</w:t>
            </w:r>
            <w:proofErr w:type="spellEnd"/>
            <w:r w:rsidRPr="00FF7D07">
              <w:rPr>
                <w:rFonts w:ascii="Arial" w:hAnsi="Arial" w:cs="Arial"/>
                <w:sz w:val="16"/>
                <w:szCs w:val="16"/>
              </w:rPr>
              <w:t>).</w:t>
            </w:r>
          </w:p>
          <w:p w14:paraId="421FD58D" w14:textId="77777777" w:rsidR="00FF7D07" w:rsidRPr="00FF7D07" w:rsidRDefault="00FF7D07" w:rsidP="00FF7D07">
            <w:pPr>
              <w:rPr>
                <w:rFonts w:ascii="Arial" w:hAnsi="Arial" w:cs="Arial"/>
                <w:sz w:val="16"/>
                <w:szCs w:val="16"/>
              </w:rPr>
            </w:pPr>
            <w:r w:rsidRPr="002275E9">
              <w:rPr>
                <w:rFonts w:ascii="Arial" w:hAnsi="Arial" w:cs="Arial"/>
                <w:caps/>
                <w:sz w:val="16"/>
                <w:szCs w:val="16"/>
              </w:rPr>
              <w:t>Inegi</w:t>
            </w:r>
            <w:r w:rsidRPr="00A9115F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r w:rsidRPr="00FF7D07">
              <w:rPr>
                <w:rFonts w:ascii="Arial" w:hAnsi="Arial" w:cs="Arial"/>
                <w:sz w:val="16"/>
                <w:szCs w:val="16"/>
              </w:rPr>
              <w:t xml:space="preserve">(2017). Encuesta Nacional de Ingresos y Gastos de los Hogares 2016 (base de </w:t>
            </w:r>
            <w:proofErr w:type="spellStart"/>
            <w:r w:rsidRPr="00FF7D07">
              <w:rPr>
                <w:rFonts w:ascii="Arial" w:hAnsi="Arial" w:cs="Arial"/>
                <w:sz w:val="16"/>
                <w:szCs w:val="16"/>
              </w:rPr>
              <w:t>microdatos</w:t>
            </w:r>
            <w:proofErr w:type="spellEnd"/>
            <w:r w:rsidRPr="00FF7D07">
              <w:rPr>
                <w:rFonts w:ascii="Arial" w:hAnsi="Arial" w:cs="Arial"/>
                <w:sz w:val="16"/>
                <w:szCs w:val="16"/>
              </w:rPr>
              <w:t>).</w:t>
            </w:r>
          </w:p>
          <w:p w14:paraId="5A5062F4" w14:textId="6C14D764" w:rsidR="00FF7D07" w:rsidRPr="00FF7D07" w:rsidRDefault="004474F1" w:rsidP="00FF7D07">
            <w:pPr>
              <w:rPr>
                <w:rFonts w:ascii="Arial" w:hAnsi="Arial" w:cs="Arial"/>
                <w:sz w:val="16"/>
                <w:szCs w:val="16"/>
              </w:rPr>
            </w:pPr>
            <w:r w:rsidRPr="00477A8F">
              <w:rPr>
                <w:rFonts w:ascii="Arial" w:hAnsi="Arial" w:cs="Arial"/>
                <w:caps/>
                <w:sz w:val="16"/>
                <w:szCs w:val="16"/>
              </w:rPr>
              <w:t>Inegi</w:t>
            </w:r>
            <w:r w:rsidR="00FF7D07" w:rsidRPr="00A9115F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r w:rsidR="00FF7D07" w:rsidRPr="00FF7D07">
              <w:rPr>
                <w:rFonts w:ascii="Arial" w:hAnsi="Arial" w:cs="Arial"/>
                <w:sz w:val="16"/>
                <w:szCs w:val="16"/>
              </w:rPr>
              <w:t>(2013</w:t>
            </w:r>
            <w:r w:rsidR="0047526A">
              <w:rPr>
                <w:rFonts w:ascii="Arial" w:hAnsi="Arial" w:cs="Arial"/>
                <w:sz w:val="16"/>
                <w:szCs w:val="16"/>
              </w:rPr>
              <w:t>b</w:t>
            </w:r>
            <w:r w:rsidR="00FF7D07" w:rsidRPr="00FF7D07">
              <w:rPr>
                <w:rFonts w:ascii="Arial" w:hAnsi="Arial" w:cs="Arial"/>
                <w:sz w:val="16"/>
                <w:szCs w:val="16"/>
              </w:rPr>
              <w:t xml:space="preserve">). Encuesta Nacional de Ocupación y Empleo, 2° trimestre de 2013 (base de </w:t>
            </w:r>
            <w:proofErr w:type="spellStart"/>
            <w:r w:rsidR="00FF7D07" w:rsidRPr="00FF7D07">
              <w:rPr>
                <w:rFonts w:ascii="Arial" w:hAnsi="Arial" w:cs="Arial"/>
                <w:sz w:val="16"/>
                <w:szCs w:val="16"/>
              </w:rPr>
              <w:t>microdatos</w:t>
            </w:r>
            <w:proofErr w:type="spellEnd"/>
            <w:r w:rsidR="00FF7D07" w:rsidRPr="00FF7D07">
              <w:rPr>
                <w:rFonts w:ascii="Arial" w:hAnsi="Arial" w:cs="Arial"/>
                <w:sz w:val="16"/>
                <w:szCs w:val="16"/>
              </w:rPr>
              <w:t>).</w:t>
            </w:r>
          </w:p>
          <w:p w14:paraId="58F11796" w14:textId="769808FE" w:rsidR="00FF7D07" w:rsidRPr="00FF7D07" w:rsidRDefault="004474F1" w:rsidP="00FF7D07">
            <w:pPr>
              <w:rPr>
                <w:rFonts w:ascii="Arial" w:hAnsi="Arial" w:cs="Arial"/>
                <w:sz w:val="16"/>
                <w:szCs w:val="16"/>
              </w:rPr>
            </w:pPr>
            <w:r w:rsidRPr="00477A8F">
              <w:rPr>
                <w:rFonts w:ascii="Arial" w:hAnsi="Arial" w:cs="Arial"/>
                <w:caps/>
                <w:sz w:val="16"/>
                <w:szCs w:val="16"/>
              </w:rPr>
              <w:t>Inegi</w:t>
            </w:r>
            <w:r w:rsidR="00FF7D07" w:rsidRPr="00A9115F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r w:rsidR="00FF7D07" w:rsidRPr="00FF7D07">
              <w:rPr>
                <w:rFonts w:ascii="Arial" w:hAnsi="Arial" w:cs="Arial"/>
                <w:sz w:val="16"/>
                <w:szCs w:val="16"/>
              </w:rPr>
              <w:t>(2018</w:t>
            </w:r>
            <w:r w:rsidR="0047526A">
              <w:rPr>
                <w:rFonts w:ascii="Arial" w:hAnsi="Arial" w:cs="Arial"/>
                <w:sz w:val="16"/>
                <w:szCs w:val="16"/>
              </w:rPr>
              <w:t>a</w:t>
            </w:r>
            <w:r w:rsidR="00FF7D07" w:rsidRPr="00FF7D07">
              <w:rPr>
                <w:rFonts w:ascii="Arial" w:hAnsi="Arial" w:cs="Arial"/>
                <w:sz w:val="16"/>
                <w:szCs w:val="16"/>
              </w:rPr>
              <w:t xml:space="preserve">). Encuesta Nacional de Ocupación y Empleo, 2° trimestre de 2018 (base de </w:t>
            </w:r>
            <w:proofErr w:type="spellStart"/>
            <w:r w:rsidR="00FF7D07" w:rsidRPr="00FF7D07">
              <w:rPr>
                <w:rFonts w:ascii="Arial" w:hAnsi="Arial" w:cs="Arial"/>
                <w:sz w:val="16"/>
                <w:szCs w:val="16"/>
              </w:rPr>
              <w:t>microdatos</w:t>
            </w:r>
            <w:proofErr w:type="spellEnd"/>
            <w:r w:rsidR="00FF7D07" w:rsidRPr="00FF7D07">
              <w:rPr>
                <w:rFonts w:ascii="Arial" w:hAnsi="Arial" w:cs="Arial"/>
                <w:sz w:val="16"/>
                <w:szCs w:val="16"/>
              </w:rPr>
              <w:t>).</w:t>
            </w:r>
          </w:p>
          <w:p w14:paraId="6CC5D3DF" w14:textId="77777777" w:rsidR="002F3C5B" w:rsidRPr="00A20DB1" w:rsidRDefault="002F3C5B" w:rsidP="008954D3">
            <w:pPr>
              <w:pStyle w:val="Encabezado"/>
              <w:tabs>
                <w:tab w:val="left" w:pos="4500"/>
                <w:tab w:val="left" w:pos="4680"/>
              </w:tabs>
              <w:spacing w:before="40"/>
              <w:ind w:right="113"/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19BD0DFB" w14:textId="5AA7A730" w:rsidR="00DE3574" w:rsidRPr="00A00339" w:rsidRDefault="00DE3574" w:rsidP="008954D3">
            <w:pPr>
              <w:pStyle w:val="Encabezado"/>
              <w:tabs>
                <w:tab w:val="left" w:pos="4500"/>
                <w:tab w:val="left" w:pos="4680"/>
              </w:tabs>
              <w:spacing w:before="40"/>
              <w:ind w:right="113"/>
              <w:jc w:val="both"/>
              <w:rPr>
                <w:rFonts w:cs="Arial"/>
                <w:sz w:val="16"/>
                <w:szCs w:val="16"/>
              </w:rPr>
            </w:pPr>
            <w:r w:rsidRPr="00A00339">
              <w:rPr>
                <w:rFonts w:cs="Arial"/>
                <w:b/>
                <w:sz w:val="16"/>
                <w:szCs w:val="16"/>
              </w:rPr>
              <w:t>Notas</w:t>
            </w:r>
          </w:p>
          <w:p w14:paraId="3B946B3B" w14:textId="19724B2A" w:rsidR="00886B07" w:rsidRDefault="00B5691B" w:rsidP="00E51A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shd w:val="clear" w:color="auto" w:fill="FFFFFF"/>
              </w:rPr>
            </w:pPr>
            <w:r w:rsidRPr="00EE5D0A">
              <w:rPr>
                <w:rFonts w:ascii="Arial" w:hAnsi="Arial" w:cs="Arial"/>
                <w:sz w:val="12"/>
                <w:szCs w:val="12"/>
                <w:shd w:val="clear" w:color="auto" w:fill="FFFFFF"/>
                <w:vertAlign w:val="superscript"/>
              </w:rPr>
              <w:t>1</w:t>
            </w:r>
            <w:r w:rsidR="00AB2913" w:rsidRPr="00EE5D0A">
              <w:rPr>
                <w:rFonts w:ascii="Arial" w:hAnsi="Arial" w:cs="Arial"/>
                <w:sz w:val="12"/>
                <w:szCs w:val="12"/>
                <w:lang w:val="es-MX"/>
              </w:rPr>
              <w:t xml:space="preserve"> </w:t>
            </w:r>
            <w:r w:rsidR="00E51A40" w:rsidRPr="00EE5D0A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Ver </w:t>
            </w:r>
            <w:r w:rsidR="00F464AB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la </w:t>
            </w:r>
            <w:r w:rsidR="00E51A40" w:rsidRPr="00EE5D0A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nota técnica “Subpoblaciones,</w:t>
            </w:r>
            <w:r w:rsidR="00BF6D20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 nivel de</w:t>
            </w:r>
            <w:r w:rsidR="00E51A40" w:rsidRPr="00EE5D0A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 escolaridad y población </w:t>
            </w:r>
            <w:r w:rsidR="00E51A40" w:rsidRPr="003D07A5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atendible” </w:t>
            </w:r>
            <w:r w:rsidR="003D07A5" w:rsidRPr="00C316AD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 xml:space="preserve">en </w:t>
            </w:r>
            <w:r w:rsidR="003D07A5" w:rsidRPr="00C316AD">
              <w:rPr>
                <w:rFonts w:ascii="Arial" w:hAnsi="Arial" w:cs="Arial"/>
                <w:i/>
                <w:iCs/>
                <w:color w:val="000000"/>
                <w:sz w:val="12"/>
                <w:szCs w:val="12"/>
                <w:lang w:val="es-MX" w:eastAsia="es-MX"/>
              </w:rPr>
              <w:t>Panorama Educativo de México 2017</w:t>
            </w:r>
            <w:r w:rsidR="003D07A5" w:rsidRPr="00C316AD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 xml:space="preserve"> (INEE, 2018b, </w:t>
            </w:r>
            <w:r w:rsidR="00C316AD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p</w:t>
            </w:r>
            <w:r w:rsidR="003D07A5" w:rsidRPr="00C316AD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p. 167</w:t>
            </w:r>
            <w:r w:rsidR="00C316AD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-170</w:t>
            </w:r>
            <w:r w:rsidR="003D07A5" w:rsidRPr="00C316AD">
              <w:rPr>
                <w:rFonts w:ascii="Arial" w:hAnsi="Arial" w:cs="Arial"/>
                <w:color w:val="000000"/>
                <w:sz w:val="12"/>
                <w:szCs w:val="12"/>
                <w:lang w:val="es-MX" w:eastAsia="es-MX"/>
              </w:rPr>
              <w:t>)</w:t>
            </w:r>
            <w:r w:rsidR="00E51A40" w:rsidRPr="003D07A5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.</w:t>
            </w:r>
          </w:p>
          <w:p w14:paraId="4FD7A037" w14:textId="26AC4EF1" w:rsidR="00C316AD" w:rsidRPr="00F22D2A" w:rsidRDefault="00A54A83" w:rsidP="00C316AD">
            <w:pP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24346E">
              <w:rPr>
                <w:rFonts w:ascii="Arial" w:hAnsi="Arial" w:cs="Arial"/>
                <w:sz w:val="12"/>
                <w:szCs w:val="12"/>
                <w:shd w:val="clear" w:color="auto" w:fill="FFFFFF"/>
                <w:vertAlign w:val="superscript"/>
              </w:rPr>
              <w:t>2</w:t>
            </w:r>
            <w:r w:rsidRPr="0024346E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 xml:space="preserve"> </w:t>
            </w:r>
            <w:r w:rsidR="0024346E" w:rsidRPr="0024346E">
              <w:rPr>
                <w:rFonts w:ascii="Arial" w:hAnsi="Arial" w:cs="Arial"/>
                <w:sz w:val="12"/>
                <w:szCs w:val="12"/>
              </w:rPr>
              <w:t>Según el criterio de la CDI. Ver también la nota técnica</w:t>
            </w:r>
            <w:r w:rsidR="0024346E" w:rsidRPr="0024346E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24346E" w:rsidRPr="0024346E">
              <w:rPr>
                <w:rFonts w:ascii="Arial" w:hAnsi="Arial" w:cs="Arial"/>
                <w:sz w:val="12"/>
                <w:szCs w:val="12"/>
              </w:rPr>
              <w:t xml:space="preserve">“Subpoblaciones, nivel de escolaridad y población atendible” </w:t>
            </w:r>
            <w:r w:rsidR="00C316AD" w:rsidRPr="00C316AD">
              <w:rPr>
                <w:rFonts w:ascii="Arial" w:hAnsi="Arial" w:cs="Arial"/>
                <w:sz w:val="12"/>
                <w:szCs w:val="12"/>
              </w:rPr>
              <w:t xml:space="preserve">en </w:t>
            </w:r>
            <w:r w:rsidR="00C316AD" w:rsidRPr="00F22D2A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Panorama Educativo de México 2017</w:t>
            </w:r>
            <w:r w:rsidR="00C316AD" w:rsidRPr="00F22D2A">
              <w:rPr>
                <w:rFonts w:ascii="Arial" w:hAnsi="Arial" w:cs="Arial"/>
                <w:color w:val="000000"/>
                <w:sz w:val="12"/>
                <w:szCs w:val="12"/>
              </w:rPr>
              <w:t xml:space="preserve"> (INEE, 2018b, pp. 167-170).</w:t>
            </w:r>
          </w:p>
          <w:p w14:paraId="04CE253D" w14:textId="61BD0FCF" w:rsidR="00A54A83" w:rsidRPr="0024346E" w:rsidRDefault="00A54A83" w:rsidP="002D4C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400B1F54" w14:textId="77777777" w:rsidR="00F75442" w:rsidRDefault="00F75442">
      <w:pPr>
        <w:rPr>
          <w:rFonts w:ascii="Arial" w:hAnsi="Arial" w:cs="Arial"/>
        </w:rPr>
      </w:pPr>
    </w:p>
    <w:p w14:paraId="17A24A7F" w14:textId="77777777" w:rsidR="000D3DA4" w:rsidRDefault="000D3DA4">
      <w:pPr>
        <w:rPr>
          <w:rFonts w:ascii="Arial" w:hAnsi="Arial" w:cs="Arial"/>
        </w:rPr>
      </w:pPr>
    </w:p>
    <w:p w14:paraId="5B45A855" w14:textId="57795FA3" w:rsidR="001C1176" w:rsidRDefault="008C5EBA">
      <w:pPr>
        <w:rPr>
          <w:rFonts w:ascii="Arial" w:hAnsi="Arial" w:cs="Arial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BB349" wp14:editId="74B9CD76">
                <wp:simplePos x="0" y="0"/>
                <wp:positionH relativeFrom="column">
                  <wp:posOffset>11375</wp:posOffset>
                </wp:positionH>
                <wp:positionV relativeFrom="paragraph">
                  <wp:posOffset>176751</wp:posOffset>
                </wp:positionV>
                <wp:extent cx="4865232" cy="1566407"/>
                <wp:effectExtent l="0" t="0" r="12065" b="1524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5232" cy="156640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DF78EC" w14:textId="77777777" w:rsidR="00830FB2" w:rsidRDefault="00830FB2" w:rsidP="0028294E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R</w:t>
                            </w:r>
                            <w:r w:rsidR="00B5691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eferente de evaluación</w:t>
                            </w:r>
                          </w:p>
                          <w:p w14:paraId="3D2EF81C" w14:textId="04A6C13E" w:rsidR="0028294E" w:rsidRDefault="0028294E" w:rsidP="00627987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La </w:t>
                            </w:r>
                            <w:r w:rsidR="00627987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asistencia de la población en edad </w:t>
                            </w:r>
                            <w:r w:rsidR="00CB788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idónea</w:t>
                            </w:r>
                            <w:r w:rsidR="00124B6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para la educación </w:t>
                            </w:r>
                            <w:r w:rsidR="00627987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básica debería ser 100%</w:t>
                            </w:r>
                            <w:r w:rsidR="001A4D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</w:t>
                            </w:r>
                            <w:r w:rsidR="00CB788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mientras que</w:t>
                            </w:r>
                            <w:r w:rsidR="00C63470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634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la asistencia </w:t>
                            </w:r>
                            <w:r w:rsidR="00C63470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de la población en edad </w:t>
                            </w:r>
                            <w:r w:rsidR="001011E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típica </w:t>
                            </w:r>
                            <w:r w:rsidR="00C634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para la educación </w:t>
                            </w:r>
                            <w:r w:rsidR="00C63470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media superior </w:t>
                            </w:r>
                            <w:r w:rsidR="00C634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debería aproximarse a </w:t>
                            </w:r>
                            <w:r w:rsidR="00627987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esta cifra</w:t>
                            </w:r>
                            <w:r w:rsidR="00C634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 medida que se acerque el ciclo escolar 2021</w:t>
                            </w:r>
                            <w:r w:rsidR="006622A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C634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2022</w:t>
                            </w:r>
                            <w:r w:rsidR="00627987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FC277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 fin de</w:t>
                            </w:r>
                            <w:r w:rsidR="00FC2777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E6B0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garantizar</w:t>
                            </w:r>
                            <w:r w:rsidR="00627987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el</w:t>
                            </w:r>
                            <w:r w:rsid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E6B0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derecho </w:t>
                            </w:r>
                            <w:r w:rsidR="00627987"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 la educación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obligatori</w:t>
                            </w:r>
                            <w:r w:rsidR="00B569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a.</w:t>
                            </w:r>
                          </w:p>
                          <w:p w14:paraId="4047285E" w14:textId="77777777" w:rsidR="00FC2777" w:rsidRDefault="00FC2777" w:rsidP="00627987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DF1261C" w14:textId="6B8F1DCC" w:rsidR="00830FB2" w:rsidRDefault="00627987" w:rsidP="00627987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</w:t>
                            </w:r>
                            <w:r w:rsidR="002829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</w:t>
                            </w:r>
                            <w:r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 asistencia ocurriera en condiciones óptimas de equidad, el indicador sería similar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para todos los subgrupos poblacionales</w:t>
                            </w:r>
                            <w:r w:rsidRPr="00EE5D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 indígena-</w:t>
                            </w:r>
                            <w:r w:rsidR="0094534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resto de la población</w:t>
                            </w:r>
                            <w:r w:rsidRPr="00EE5D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6279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pobres-no pobres, entre</w:t>
                            </w:r>
                            <w:r w:rsidR="002829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otros.</w:t>
                            </w:r>
                          </w:p>
                          <w:p w14:paraId="374FD524" w14:textId="77777777" w:rsidR="00F75442" w:rsidRDefault="00F75442" w:rsidP="00627987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CB09F2C" w14:textId="4D929941" w:rsidR="00763005" w:rsidRPr="00B5691B" w:rsidRDefault="00F941EE" w:rsidP="008C5EBA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Ver</w:t>
                            </w:r>
                            <w:r w:rsidR="006F036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763005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rtículo</w:t>
                            </w:r>
                            <w:r w:rsidR="003A670C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</w:t>
                            </w:r>
                            <w:r w:rsidR="00763005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763005" w:rsidRPr="005C023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3º</w:t>
                            </w:r>
                            <w:r w:rsidR="00763005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3A670C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y 31 </w:t>
                            </w:r>
                            <w:r w:rsidR="00763005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de la </w:t>
                            </w:r>
                            <w:r w:rsidR="0062798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CPEUM</w:t>
                            </w:r>
                            <w:r w:rsidR="00A20DB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62712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BC6A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46642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BC6A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27</w:t>
                            </w:r>
                            <w:r w:rsidR="001E52D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BC6A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agosto</w:t>
                            </w:r>
                            <w:r w:rsidR="00763005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A20DB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763005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y </w:t>
                            </w:r>
                            <w:r w:rsidR="0018238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763005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rtículos 2, 3 y 4 de la </w:t>
                            </w:r>
                            <w:r w:rsidR="00A20DB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LGE</w:t>
                            </w:r>
                            <w:r w:rsidR="00763005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3A670C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20</w:t>
                            </w:r>
                            <w:r w:rsidR="001E52D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18</w:t>
                            </w:r>
                            <w:r w:rsidR="0046642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BC6A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19 </w:t>
                            </w:r>
                            <w:r w:rsidR="001E52D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 enero</w:t>
                            </w:r>
                            <w:r w:rsidR="00763005" w:rsidRPr="00B569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1A4D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54000" tIns="46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1BB349" id="AutoShape 3" o:spid="_x0000_s1027" style="position:absolute;margin-left:.9pt;margin-top:13.9pt;width:383.1pt;height:1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">
                <v:textbox inset="1.5mm,1.3mm,1.5mm,.3mm">
                  <w:txbxContent>
                    <w:p w14:paraId="69DF78EC" w14:textId="77777777" w:rsidR="00830FB2" w:rsidRDefault="00830FB2" w:rsidP="0028294E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R</w:t>
                      </w:r>
                      <w:r w:rsidR="00B5691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eferente de evaluación</w:t>
                      </w:r>
                    </w:p>
                    <w:p w14:paraId="3D2EF81C" w14:textId="04A6C13E" w:rsidR="0028294E" w:rsidRDefault="0028294E" w:rsidP="00627987">
                      <w:pPr>
                        <w:spacing w:after="40"/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La </w:t>
                      </w:r>
                      <w:r w:rsidR="00627987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asistencia de la población en edad </w:t>
                      </w:r>
                      <w:r w:rsidR="00CB7889">
                        <w:rPr>
                          <w:rFonts w:ascii="Arial" w:hAnsi="Arial" w:cs="Arial"/>
                          <w:sz w:val="16"/>
                          <w:szCs w:val="16"/>
                        </w:rPr>
                        <w:t>idónea</w:t>
                      </w:r>
                      <w:r w:rsidR="00124B6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para la educación </w:t>
                      </w:r>
                      <w:r w:rsidR="00627987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>básica debería ser 100%</w:t>
                      </w:r>
                      <w:r w:rsidR="001A4DC3">
                        <w:rPr>
                          <w:rFonts w:ascii="Arial" w:hAnsi="Arial" w:cs="Arial"/>
                          <w:sz w:val="16"/>
                          <w:szCs w:val="16"/>
                        </w:rPr>
                        <w:t>,</w:t>
                      </w:r>
                      <w:r w:rsidR="00CB788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mientras que</w:t>
                      </w:r>
                      <w:r w:rsidR="00C63470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C6347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la asistencia </w:t>
                      </w:r>
                      <w:r w:rsidR="00C63470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de la población en edad </w:t>
                      </w:r>
                      <w:r w:rsidR="001011E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típica </w:t>
                      </w:r>
                      <w:r w:rsidR="00C6347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para la educación </w:t>
                      </w:r>
                      <w:r w:rsidR="00C63470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media superior </w:t>
                      </w:r>
                      <w:r w:rsidR="00C6347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debería aproximarse a </w:t>
                      </w:r>
                      <w:r w:rsidR="00627987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>esta cifra</w:t>
                      </w:r>
                      <w:r w:rsidR="00C6347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 medida que se acerque el ciclo escolar 2021</w:t>
                      </w:r>
                      <w:r w:rsidR="006622A5"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C63470">
                        <w:rPr>
                          <w:rFonts w:ascii="Arial" w:hAnsi="Arial" w:cs="Arial"/>
                          <w:sz w:val="16"/>
                          <w:szCs w:val="16"/>
                        </w:rPr>
                        <w:t>2022</w:t>
                      </w:r>
                      <w:r w:rsidR="00627987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r w:rsidR="00FC2777">
                        <w:rPr>
                          <w:rFonts w:ascii="Arial" w:hAnsi="Arial" w:cs="Arial"/>
                          <w:sz w:val="16"/>
                          <w:szCs w:val="16"/>
                        </w:rPr>
                        <w:t>a fin de</w:t>
                      </w:r>
                      <w:r w:rsidR="00FC2777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4E6B09">
                        <w:rPr>
                          <w:rFonts w:ascii="Arial" w:hAnsi="Arial" w:cs="Arial"/>
                          <w:sz w:val="16"/>
                          <w:szCs w:val="16"/>
                        </w:rPr>
                        <w:t>garantizar</w:t>
                      </w:r>
                      <w:r w:rsidR="00627987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el</w:t>
                      </w:r>
                      <w:r w:rsid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4E6B0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derecho </w:t>
                      </w:r>
                      <w:r w:rsidR="00627987"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 la educación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obligatori</w:t>
                      </w:r>
                      <w:r w:rsidR="00B5691B">
                        <w:rPr>
                          <w:rFonts w:ascii="Arial" w:hAnsi="Arial" w:cs="Arial"/>
                          <w:sz w:val="16"/>
                          <w:szCs w:val="16"/>
                        </w:rPr>
                        <w:t>a.</w:t>
                      </w:r>
                    </w:p>
                    <w:p w14:paraId="4047285E" w14:textId="77777777" w:rsidR="00FC2777" w:rsidRDefault="00FC2777" w:rsidP="00627987">
                      <w:pPr>
                        <w:spacing w:after="40"/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DF1261C" w14:textId="6B8F1DCC" w:rsidR="00830FB2" w:rsidRDefault="00627987" w:rsidP="00627987">
                      <w:pPr>
                        <w:spacing w:after="40"/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</w:t>
                      </w:r>
                      <w:r w:rsidR="0028294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</w:t>
                      </w:r>
                      <w:r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>la asistencia ocurriera en condiciones óptimas de equidad, el indicador sería similar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>para todos los subgrupos poblacionales</w:t>
                      </w:r>
                      <w:r w:rsidRPr="00EE5D0A">
                        <w:rPr>
                          <w:rFonts w:ascii="Arial" w:hAnsi="Arial" w:cs="Arial"/>
                          <w:sz w:val="16"/>
                          <w:szCs w:val="16"/>
                        </w:rPr>
                        <w:t>: indígena-</w:t>
                      </w:r>
                      <w:r w:rsidR="00945346">
                        <w:rPr>
                          <w:rFonts w:ascii="Arial" w:hAnsi="Arial" w:cs="Arial"/>
                          <w:sz w:val="16"/>
                          <w:szCs w:val="16"/>
                        </w:rPr>
                        <w:t>resto de la población</w:t>
                      </w:r>
                      <w:r w:rsidRPr="00EE5D0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r w:rsidRPr="00627987">
                        <w:rPr>
                          <w:rFonts w:ascii="Arial" w:hAnsi="Arial" w:cs="Arial"/>
                          <w:sz w:val="16"/>
                          <w:szCs w:val="16"/>
                        </w:rPr>
                        <w:t>pobres-no pobres, entre</w:t>
                      </w:r>
                      <w:r w:rsidR="0028294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otros.</w:t>
                      </w:r>
                    </w:p>
                    <w:p w14:paraId="374FD524" w14:textId="77777777" w:rsidR="00F75442" w:rsidRDefault="00F75442" w:rsidP="00627987">
                      <w:pPr>
                        <w:spacing w:after="40"/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0CB09F2C" w14:textId="4D929941" w:rsidR="00763005" w:rsidRPr="00B5691B" w:rsidRDefault="00F941EE" w:rsidP="008C5EBA">
                      <w:pPr>
                        <w:spacing w:after="40"/>
                        <w:ind w:right="108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Ver</w:t>
                      </w:r>
                      <w:r w:rsidR="006F0363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a</w:t>
                      </w:r>
                      <w:r w:rsidR="00763005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>rtículo</w:t>
                      </w:r>
                      <w:r w:rsidR="003A670C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>s</w:t>
                      </w:r>
                      <w:r w:rsidR="00763005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763005" w:rsidRPr="005C023E">
                        <w:rPr>
                          <w:rFonts w:ascii="Arial" w:hAnsi="Arial" w:cs="Arial"/>
                          <w:sz w:val="12"/>
                          <w:szCs w:val="12"/>
                        </w:rPr>
                        <w:t>3º</w:t>
                      </w:r>
                      <w:r w:rsidR="00763005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3A670C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y 31 </w:t>
                      </w:r>
                      <w:r w:rsidR="00763005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de la </w:t>
                      </w:r>
                      <w:r w:rsidR="00627987">
                        <w:rPr>
                          <w:rFonts w:ascii="Arial" w:hAnsi="Arial" w:cs="Arial"/>
                          <w:sz w:val="12"/>
                          <w:szCs w:val="12"/>
                        </w:rPr>
                        <w:t>CPEUM</w:t>
                      </w:r>
                      <w:r w:rsidR="00A20DB1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</w:t>
                      </w:r>
                      <w:r w:rsidR="00627125">
                        <w:rPr>
                          <w:rFonts w:ascii="Arial" w:hAnsi="Arial" w:cs="Arial"/>
                          <w:sz w:val="12"/>
                          <w:szCs w:val="12"/>
                        </w:rPr>
                        <w:t>201</w:t>
                      </w:r>
                      <w:r w:rsidR="00BC6A51">
                        <w:rPr>
                          <w:rFonts w:ascii="Arial" w:hAnsi="Arial" w:cs="Arial"/>
                          <w:sz w:val="12"/>
                          <w:szCs w:val="12"/>
                        </w:rPr>
                        <w:t>8</w:t>
                      </w:r>
                      <w:r w:rsidR="0046642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, </w:t>
                      </w:r>
                      <w:r w:rsidR="00BC6A51">
                        <w:rPr>
                          <w:rFonts w:ascii="Arial" w:hAnsi="Arial" w:cs="Arial"/>
                          <w:sz w:val="12"/>
                          <w:szCs w:val="12"/>
                        </w:rPr>
                        <w:t>27</w:t>
                      </w:r>
                      <w:r w:rsidR="001E52D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</w:t>
                      </w:r>
                      <w:r w:rsidR="00BC6A51">
                        <w:rPr>
                          <w:rFonts w:ascii="Arial" w:hAnsi="Arial" w:cs="Arial"/>
                          <w:sz w:val="12"/>
                          <w:szCs w:val="12"/>
                        </w:rPr>
                        <w:t>agosto</w:t>
                      </w:r>
                      <w:r w:rsidR="00763005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>)</w:t>
                      </w:r>
                      <w:r w:rsidR="00A20DB1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 w:rsidR="00763005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y </w:t>
                      </w:r>
                      <w:r w:rsidR="0018238A">
                        <w:rPr>
                          <w:rFonts w:ascii="Arial" w:hAnsi="Arial" w:cs="Arial"/>
                          <w:sz w:val="12"/>
                          <w:szCs w:val="12"/>
                        </w:rPr>
                        <w:t>a</w:t>
                      </w:r>
                      <w:r w:rsidR="00763005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rtículos 2, 3 y 4 de la </w:t>
                      </w:r>
                      <w:r w:rsidR="00A20DB1">
                        <w:rPr>
                          <w:rFonts w:ascii="Arial" w:hAnsi="Arial" w:cs="Arial"/>
                          <w:sz w:val="12"/>
                          <w:szCs w:val="12"/>
                        </w:rPr>
                        <w:t>LGE</w:t>
                      </w:r>
                      <w:r w:rsidR="00763005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</w:t>
                      </w:r>
                      <w:r w:rsidR="003A670C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>20</w:t>
                      </w:r>
                      <w:r w:rsidR="001E52DC">
                        <w:rPr>
                          <w:rFonts w:ascii="Arial" w:hAnsi="Arial" w:cs="Arial"/>
                          <w:sz w:val="12"/>
                          <w:szCs w:val="12"/>
                        </w:rPr>
                        <w:t>18</w:t>
                      </w:r>
                      <w:r w:rsidR="0046642B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, </w:t>
                      </w:r>
                      <w:r w:rsidR="00BC6A51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19 </w:t>
                      </w:r>
                      <w:r w:rsidR="001E52DC">
                        <w:rPr>
                          <w:rFonts w:ascii="Arial" w:hAnsi="Arial" w:cs="Arial"/>
                          <w:sz w:val="12"/>
                          <w:szCs w:val="12"/>
                        </w:rPr>
                        <w:t>de enero</w:t>
                      </w:r>
                      <w:r w:rsidR="00763005" w:rsidRPr="00B5691B">
                        <w:rPr>
                          <w:rFonts w:ascii="Arial" w:hAnsi="Arial" w:cs="Arial"/>
                          <w:sz w:val="12"/>
                          <w:szCs w:val="12"/>
                        </w:rPr>
                        <w:t>)</w:t>
                      </w:r>
                      <w:r w:rsidR="001A4DC3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5799ED" w14:textId="77777777" w:rsidR="001315FF" w:rsidRDefault="001315FF">
      <w:pPr>
        <w:rPr>
          <w:rFonts w:ascii="Arial" w:hAnsi="Arial" w:cs="Arial"/>
        </w:rPr>
      </w:pPr>
    </w:p>
    <w:p w14:paraId="2DB8D2CB" w14:textId="77777777" w:rsidR="001315FF" w:rsidRDefault="001315FF">
      <w:pPr>
        <w:rPr>
          <w:rFonts w:ascii="Arial" w:hAnsi="Arial" w:cs="Arial"/>
        </w:rPr>
      </w:pPr>
    </w:p>
    <w:p w14:paraId="267B8A58" w14:textId="77777777" w:rsidR="001315FF" w:rsidRDefault="001315FF">
      <w:pPr>
        <w:rPr>
          <w:rFonts w:ascii="Arial" w:hAnsi="Arial" w:cs="Arial"/>
        </w:rPr>
      </w:pPr>
    </w:p>
    <w:sectPr w:rsidR="001315FF" w:rsidSect="00D74D0C">
      <w:pgSz w:w="12242" w:h="15842" w:code="1"/>
      <w:pgMar w:top="85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BFCF6" w14:textId="77777777" w:rsidR="00BF6182" w:rsidRDefault="00BF6182" w:rsidP="00591140">
      <w:r>
        <w:separator/>
      </w:r>
    </w:p>
  </w:endnote>
  <w:endnote w:type="continuationSeparator" w:id="0">
    <w:p w14:paraId="5C636ACB" w14:textId="77777777" w:rsidR="00BF6182" w:rsidRDefault="00BF6182" w:rsidP="0059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9A0D8" w14:textId="77777777" w:rsidR="00BF6182" w:rsidRDefault="00BF6182" w:rsidP="00591140">
      <w:r>
        <w:separator/>
      </w:r>
    </w:p>
  </w:footnote>
  <w:footnote w:type="continuationSeparator" w:id="0">
    <w:p w14:paraId="3BDA9006" w14:textId="77777777" w:rsidR="00BF6182" w:rsidRDefault="00BF6182" w:rsidP="00591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501"/>
    <w:rsid w:val="00004807"/>
    <w:rsid w:val="000048B5"/>
    <w:rsid w:val="00005FA1"/>
    <w:rsid w:val="00020179"/>
    <w:rsid w:val="00020970"/>
    <w:rsid w:val="00023B8E"/>
    <w:rsid w:val="00024451"/>
    <w:rsid w:val="000257F8"/>
    <w:rsid w:val="00035A09"/>
    <w:rsid w:val="000400BB"/>
    <w:rsid w:val="00043A76"/>
    <w:rsid w:val="0005339F"/>
    <w:rsid w:val="00056450"/>
    <w:rsid w:val="00056AC1"/>
    <w:rsid w:val="00064AED"/>
    <w:rsid w:val="00065294"/>
    <w:rsid w:val="00065303"/>
    <w:rsid w:val="00066006"/>
    <w:rsid w:val="0007322E"/>
    <w:rsid w:val="00077504"/>
    <w:rsid w:val="00080143"/>
    <w:rsid w:val="00082AE5"/>
    <w:rsid w:val="000831AA"/>
    <w:rsid w:val="000836CE"/>
    <w:rsid w:val="00084789"/>
    <w:rsid w:val="000904BD"/>
    <w:rsid w:val="00094F03"/>
    <w:rsid w:val="00095EC0"/>
    <w:rsid w:val="000A7767"/>
    <w:rsid w:val="000B3B65"/>
    <w:rsid w:val="000B4213"/>
    <w:rsid w:val="000C1462"/>
    <w:rsid w:val="000C7D18"/>
    <w:rsid w:val="000D3DA4"/>
    <w:rsid w:val="000E1058"/>
    <w:rsid w:val="000E1B14"/>
    <w:rsid w:val="000F345B"/>
    <w:rsid w:val="000F7CDA"/>
    <w:rsid w:val="001011E4"/>
    <w:rsid w:val="00104FE1"/>
    <w:rsid w:val="00105DA4"/>
    <w:rsid w:val="001070E9"/>
    <w:rsid w:val="0010723C"/>
    <w:rsid w:val="001077D3"/>
    <w:rsid w:val="00110726"/>
    <w:rsid w:val="00113526"/>
    <w:rsid w:val="00114317"/>
    <w:rsid w:val="001146D7"/>
    <w:rsid w:val="001217B7"/>
    <w:rsid w:val="00124B61"/>
    <w:rsid w:val="00125F02"/>
    <w:rsid w:val="001315FF"/>
    <w:rsid w:val="00132360"/>
    <w:rsid w:val="0013334B"/>
    <w:rsid w:val="00142673"/>
    <w:rsid w:val="00143074"/>
    <w:rsid w:val="00145126"/>
    <w:rsid w:val="00146E9E"/>
    <w:rsid w:val="00154F5B"/>
    <w:rsid w:val="001579E0"/>
    <w:rsid w:val="001666CC"/>
    <w:rsid w:val="001751A3"/>
    <w:rsid w:val="001762C4"/>
    <w:rsid w:val="0018238A"/>
    <w:rsid w:val="001823F2"/>
    <w:rsid w:val="00185A1A"/>
    <w:rsid w:val="00186B6B"/>
    <w:rsid w:val="00193486"/>
    <w:rsid w:val="00196C3E"/>
    <w:rsid w:val="001A1167"/>
    <w:rsid w:val="001A1F6A"/>
    <w:rsid w:val="001A28B9"/>
    <w:rsid w:val="001A3911"/>
    <w:rsid w:val="001A4DC3"/>
    <w:rsid w:val="001A6B39"/>
    <w:rsid w:val="001B4568"/>
    <w:rsid w:val="001C1176"/>
    <w:rsid w:val="001C277F"/>
    <w:rsid w:val="001C4115"/>
    <w:rsid w:val="001D00E7"/>
    <w:rsid w:val="001D1D71"/>
    <w:rsid w:val="001D4A0E"/>
    <w:rsid w:val="001E14E0"/>
    <w:rsid w:val="001E291E"/>
    <w:rsid w:val="001E52DC"/>
    <w:rsid w:val="001E6E2F"/>
    <w:rsid w:val="001F0D9F"/>
    <w:rsid w:val="001F1779"/>
    <w:rsid w:val="001F1C85"/>
    <w:rsid w:val="001F2E80"/>
    <w:rsid w:val="001F6801"/>
    <w:rsid w:val="00201960"/>
    <w:rsid w:val="0021348F"/>
    <w:rsid w:val="002154E7"/>
    <w:rsid w:val="002161EA"/>
    <w:rsid w:val="002167AB"/>
    <w:rsid w:val="002275E9"/>
    <w:rsid w:val="00231C3F"/>
    <w:rsid w:val="00234146"/>
    <w:rsid w:val="00234A4E"/>
    <w:rsid w:val="0024346E"/>
    <w:rsid w:val="002438A9"/>
    <w:rsid w:val="00253658"/>
    <w:rsid w:val="002557E3"/>
    <w:rsid w:val="00256230"/>
    <w:rsid w:val="002618AA"/>
    <w:rsid w:val="00264501"/>
    <w:rsid w:val="00265251"/>
    <w:rsid w:val="002652C1"/>
    <w:rsid w:val="00267B01"/>
    <w:rsid w:val="0027534D"/>
    <w:rsid w:val="00275974"/>
    <w:rsid w:val="00276568"/>
    <w:rsid w:val="002817A5"/>
    <w:rsid w:val="0028294E"/>
    <w:rsid w:val="00284154"/>
    <w:rsid w:val="00284B62"/>
    <w:rsid w:val="00290FA0"/>
    <w:rsid w:val="002920FF"/>
    <w:rsid w:val="00292811"/>
    <w:rsid w:val="002930AD"/>
    <w:rsid w:val="002938AB"/>
    <w:rsid w:val="0029419C"/>
    <w:rsid w:val="00294C80"/>
    <w:rsid w:val="0029596E"/>
    <w:rsid w:val="002A36B1"/>
    <w:rsid w:val="002A4AC3"/>
    <w:rsid w:val="002B2D95"/>
    <w:rsid w:val="002B7F89"/>
    <w:rsid w:val="002C2048"/>
    <w:rsid w:val="002C316A"/>
    <w:rsid w:val="002C41C2"/>
    <w:rsid w:val="002C5AE8"/>
    <w:rsid w:val="002D205A"/>
    <w:rsid w:val="002D4C8A"/>
    <w:rsid w:val="002E4728"/>
    <w:rsid w:val="002E6081"/>
    <w:rsid w:val="002E6E76"/>
    <w:rsid w:val="002E7D4C"/>
    <w:rsid w:val="002F1025"/>
    <w:rsid w:val="002F3C5B"/>
    <w:rsid w:val="002F6394"/>
    <w:rsid w:val="002F682D"/>
    <w:rsid w:val="0030032F"/>
    <w:rsid w:val="00305834"/>
    <w:rsid w:val="0031374D"/>
    <w:rsid w:val="003141B7"/>
    <w:rsid w:val="00323557"/>
    <w:rsid w:val="0032514D"/>
    <w:rsid w:val="00331940"/>
    <w:rsid w:val="00335FC9"/>
    <w:rsid w:val="00340E34"/>
    <w:rsid w:val="003475E0"/>
    <w:rsid w:val="0035094F"/>
    <w:rsid w:val="00350AAB"/>
    <w:rsid w:val="00352C61"/>
    <w:rsid w:val="003532B2"/>
    <w:rsid w:val="00356669"/>
    <w:rsid w:val="00357699"/>
    <w:rsid w:val="003601B8"/>
    <w:rsid w:val="00360388"/>
    <w:rsid w:val="0037117A"/>
    <w:rsid w:val="0037252C"/>
    <w:rsid w:val="00373ED5"/>
    <w:rsid w:val="00382F5F"/>
    <w:rsid w:val="0038539F"/>
    <w:rsid w:val="00385B3D"/>
    <w:rsid w:val="00387BEF"/>
    <w:rsid w:val="00391BD2"/>
    <w:rsid w:val="00392075"/>
    <w:rsid w:val="00392463"/>
    <w:rsid w:val="003928A3"/>
    <w:rsid w:val="003978B9"/>
    <w:rsid w:val="003A3A65"/>
    <w:rsid w:val="003A523D"/>
    <w:rsid w:val="003A670C"/>
    <w:rsid w:val="003B165B"/>
    <w:rsid w:val="003B1A44"/>
    <w:rsid w:val="003B1A70"/>
    <w:rsid w:val="003B2BDA"/>
    <w:rsid w:val="003B6FCC"/>
    <w:rsid w:val="003B779A"/>
    <w:rsid w:val="003C2C94"/>
    <w:rsid w:val="003C33E3"/>
    <w:rsid w:val="003D07A5"/>
    <w:rsid w:val="003D719C"/>
    <w:rsid w:val="003D7E4A"/>
    <w:rsid w:val="003E26F6"/>
    <w:rsid w:val="003E2E30"/>
    <w:rsid w:val="003E5CCC"/>
    <w:rsid w:val="00400CD3"/>
    <w:rsid w:val="004015E8"/>
    <w:rsid w:val="00403BE6"/>
    <w:rsid w:val="00404F0D"/>
    <w:rsid w:val="0041002E"/>
    <w:rsid w:val="004115D8"/>
    <w:rsid w:val="00411893"/>
    <w:rsid w:val="00415BC0"/>
    <w:rsid w:val="0041691C"/>
    <w:rsid w:val="004217D4"/>
    <w:rsid w:val="004243B5"/>
    <w:rsid w:val="00424694"/>
    <w:rsid w:val="004335EB"/>
    <w:rsid w:val="00445783"/>
    <w:rsid w:val="004474F1"/>
    <w:rsid w:val="00447D59"/>
    <w:rsid w:val="00447D98"/>
    <w:rsid w:val="0045157B"/>
    <w:rsid w:val="00453C6B"/>
    <w:rsid w:val="00454154"/>
    <w:rsid w:val="00462B6B"/>
    <w:rsid w:val="0046642B"/>
    <w:rsid w:val="004665D6"/>
    <w:rsid w:val="00470ACB"/>
    <w:rsid w:val="0047526A"/>
    <w:rsid w:val="00480AC0"/>
    <w:rsid w:val="00492A10"/>
    <w:rsid w:val="0049354F"/>
    <w:rsid w:val="00495EE4"/>
    <w:rsid w:val="00497DBF"/>
    <w:rsid w:val="004A27C1"/>
    <w:rsid w:val="004A43A2"/>
    <w:rsid w:val="004A6491"/>
    <w:rsid w:val="004A68F4"/>
    <w:rsid w:val="004A708E"/>
    <w:rsid w:val="004B1CEE"/>
    <w:rsid w:val="004C37CE"/>
    <w:rsid w:val="004D4FA0"/>
    <w:rsid w:val="004E0682"/>
    <w:rsid w:val="004E0DF1"/>
    <w:rsid w:val="004E2AF9"/>
    <w:rsid w:val="004E40D9"/>
    <w:rsid w:val="004E51BB"/>
    <w:rsid w:val="004E5E42"/>
    <w:rsid w:val="004E65FE"/>
    <w:rsid w:val="004E6B09"/>
    <w:rsid w:val="004F0FAB"/>
    <w:rsid w:val="004F1C02"/>
    <w:rsid w:val="004F243A"/>
    <w:rsid w:val="004F43ED"/>
    <w:rsid w:val="004F51F8"/>
    <w:rsid w:val="00500DB8"/>
    <w:rsid w:val="00500F37"/>
    <w:rsid w:val="005019D7"/>
    <w:rsid w:val="00507BD3"/>
    <w:rsid w:val="00512F3E"/>
    <w:rsid w:val="00517E6C"/>
    <w:rsid w:val="00527095"/>
    <w:rsid w:val="00531EE3"/>
    <w:rsid w:val="00533B67"/>
    <w:rsid w:val="00535892"/>
    <w:rsid w:val="005367D8"/>
    <w:rsid w:val="0053693C"/>
    <w:rsid w:val="00542C9C"/>
    <w:rsid w:val="00546402"/>
    <w:rsid w:val="00551917"/>
    <w:rsid w:val="00564430"/>
    <w:rsid w:val="00564DE7"/>
    <w:rsid w:val="00565FCA"/>
    <w:rsid w:val="005668C6"/>
    <w:rsid w:val="00575F4B"/>
    <w:rsid w:val="00580840"/>
    <w:rsid w:val="005817C0"/>
    <w:rsid w:val="00584026"/>
    <w:rsid w:val="00584EBC"/>
    <w:rsid w:val="00585913"/>
    <w:rsid w:val="00591140"/>
    <w:rsid w:val="005935A2"/>
    <w:rsid w:val="00594D83"/>
    <w:rsid w:val="005A2808"/>
    <w:rsid w:val="005A4360"/>
    <w:rsid w:val="005B0AE8"/>
    <w:rsid w:val="005B1CB8"/>
    <w:rsid w:val="005B48C0"/>
    <w:rsid w:val="005C023E"/>
    <w:rsid w:val="005C2382"/>
    <w:rsid w:val="005C30F4"/>
    <w:rsid w:val="005D0A35"/>
    <w:rsid w:val="005D49B8"/>
    <w:rsid w:val="005D4F07"/>
    <w:rsid w:val="005D662B"/>
    <w:rsid w:val="005E0AD5"/>
    <w:rsid w:val="005E31D9"/>
    <w:rsid w:val="005E6F8A"/>
    <w:rsid w:val="005F1D3F"/>
    <w:rsid w:val="005F61F3"/>
    <w:rsid w:val="005F7572"/>
    <w:rsid w:val="00602219"/>
    <w:rsid w:val="00602376"/>
    <w:rsid w:val="00602EE7"/>
    <w:rsid w:val="00611D9D"/>
    <w:rsid w:val="00612C5F"/>
    <w:rsid w:val="006161E4"/>
    <w:rsid w:val="00625021"/>
    <w:rsid w:val="006269D4"/>
    <w:rsid w:val="00627125"/>
    <w:rsid w:val="00627987"/>
    <w:rsid w:val="006304A5"/>
    <w:rsid w:val="00633F1F"/>
    <w:rsid w:val="006375A4"/>
    <w:rsid w:val="00641C7B"/>
    <w:rsid w:val="00646F72"/>
    <w:rsid w:val="00647E6B"/>
    <w:rsid w:val="006622A5"/>
    <w:rsid w:val="0066391D"/>
    <w:rsid w:val="00667460"/>
    <w:rsid w:val="0067527C"/>
    <w:rsid w:val="006904FA"/>
    <w:rsid w:val="0069446C"/>
    <w:rsid w:val="00694DA4"/>
    <w:rsid w:val="006A0543"/>
    <w:rsid w:val="006A0939"/>
    <w:rsid w:val="006A12C0"/>
    <w:rsid w:val="006B0F46"/>
    <w:rsid w:val="006B11DE"/>
    <w:rsid w:val="006B2FAB"/>
    <w:rsid w:val="006B578F"/>
    <w:rsid w:val="006B69DA"/>
    <w:rsid w:val="006C061D"/>
    <w:rsid w:val="006C55FF"/>
    <w:rsid w:val="006C6469"/>
    <w:rsid w:val="006C6A10"/>
    <w:rsid w:val="006D4B6B"/>
    <w:rsid w:val="006D4E2C"/>
    <w:rsid w:val="006D563A"/>
    <w:rsid w:val="006E6E03"/>
    <w:rsid w:val="006E6FCB"/>
    <w:rsid w:val="006F0363"/>
    <w:rsid w:val="006F0F89"/>
    <w:rsid w:val="006F65BB"/>
    <w:rsid w:val="006F6B0E"/>
    <w:rsid w:val="007042B1"/>
    <w:rsid w:val="00706F65"/>
    <w:rsid w:val="00715D1F"/>
    <w:rsid w:val="007269F4"/>
    <w:rsid w:val="007303D8"/>
    <w:rsid w:val="0073431C"/>
    <w:rsid w:val="00734F0C"/>
    <w:rsid w:val="00736849"/>
    <w:rsid w:val="007410E8"/>
    <w:rsid w:val="0074203D"/>
    <w:rsid w:val="007430D8"/>
    <w:rsid w:val="00743ACC"/>
    <w:rsid w:val="00746A5D"/>
    <w:rsid w:val="00763005"/>
    <w:rsid w:val="007678ED"/>
    <w:rsid w:val="00770A8B"/>
    <w:rsid w:val="00773A5B"/>
    <w:rsid w:val="00773D59"/>
    <w:rsid w:val="00780162"/>
    <w:rsid w:val="007876EB"/>
    <w:rsid w:val="00791F1E"/>
    <w:rsid w:val="007A561A"/>
    <w:rsid w:val="007A5655"/>
    <w:rsid w:val="007A5813"/>
    <w:rsid w:val="007A6B03"/>
    <w:rsid w:val="007A717F"/>
    <w:rsid w:val="007A7954"/>
    <w:rsid w:val="007C057D"/>
    <w:rsid w:val="007C7797"/>
    <w:rsid w:val="007D2708"/>
    <w:rsid w:val="007D2FC9"/>
    <w:rsid w:val="007D3149"/>
    <w:rsid w:val="007E0DEB"/>
    <w:rsid w:val="007F08B1"/>
    <w:rsid w:val="007F2FE6"/>
    <w:rsid w:val="007F368D"/>
    <w:rsid w:val="007F775C"/>
    <w:rsid w:val="00804DC8"/>
    <w:rsid w:val="00806162"/>
    <w:rsid w:val="00810699"/>
    <w:rsid w:val="008146B1"/>
    <w:rsid w:val="00814857"/>
    <w:rsid w:val="00814B92"/>
    <w:rsid w:val="0081799F"/>
    <w:rsid w:val="008202FB"/>
    <w:rsid w:val="008230A8"/>
    <w:rsid w:val="008244B9"/>
    <w:rsid w:val="00827DB8"/>
    <w:rsid w:val="00830FB2"/>
    <w:rsid w:val="008312C8"/>
    <w:rsid w:val="00834E6E"/>
    <w:rsid w:val="00836877"/>
    <w:rsid w:val="00840550"/>
    <w:rsid w:val="00845834"/>
    <w:rsid w:val="00847CC1"/>
    <w:rsid w:val="00850232"/>
    <w:rsid w:val="00851075"/>
    <w:rsid w:val="00851EC4"/>
    <w:rsid w:val="0085753F"/>
    <w:rsid w:val="0085773D"/>
    <w:rsid w:val="008631E0"/>
    <w:rsid w:val="00866AE4"/>
    <w:rsid w:val="008713AC"/>
    <w:rsid w:val="008725DA"/>
    <w:rsid w:val="0087269C"/>
    <w:rsid w:val="0087590A"/>
    <w:rsid w:val="00877A5B"/>
    <w:rsid w:val="00880957"/>
    <w:rsid w:val="008828A7"/>
    <w:rsid w:val="00883F53"/>
    <w:rsid w:val="00886B07"/>
    <w:rsid w:val="00886D49"/>
    <w:rsid w:val="0089313A"/>
    <w:rsid w:val="008954D3"/>
    <w:rsid w:val="008975BE"/>
    <w:rsid w:val="008A0F19"/>
    <w:rsid w:val="008A2E0B"/>
    <w:rsid w:val="008A3176"/>
    <w:rsid w:val="008A6F86"/>
    <w:rsid w:val="008A7E36"/>
    <w:rsid w:val="008B3418"/>
    <w:rsid w:val="008B4712"/>
    <w:rsid w:val="008B4998"/>
    <w:rsid w:val="008C10D5"/>
    <w:rsid w:val="008C5EBA"/>
    <w:rsid w:val="008C6566"/>
    <w:rsid w:val="008D1119"/>
    <w:rsid w:val="008D5C24"/>
    <w:rsid w:val="008D7A60"/>
    <w:rsid w:val="008E0DB8"/>
    <w:rsid w:val="008E2F9F"/>
    <w:rsid w:val="008F59A2"/>
    <w:rsid w:val="00901140"/>
    <w:rsid w:val="00902C77"/>
    <w:rsid w:val="00903CAE"/>
    <w:rsid w:val="00904178"/>
    <w:rsid w:val="00906273"/>
    <w:rsid w:val="00906490"/>
    <w:rsid w:val="00913040"/>
    <w:rsid w:val="0092741E"/>
    <w:rsid w:val="009346BC"/>
    <w:rsid w:val="009367A7"/>
    <w:rsid w:val="00937001"/>
    <w:rsid w:val="00937CD7"/>
    <w:rsid w:val="00945346"/>
    <w:rsid w:val="009461D9"/>
    <w:rsid w:val="009468A4"/>
    <w:rsid w:val="00946E47"/>
    <w:rsid w:val="00951464"/>
    <w:rsid w:val="00956DE7"/>
    <w:rsid w:val="009611FE"/>
    <w:rsid w:val="0096146A"/>
    <w:rsid w:val="00961DB7"/>
    <w:rsid w:val="00964104"/>
    <w:rsid w:val="009678FD"/>
    <w:rsid w:val="00970BC8"/>
    <w:rsid w:val="009728EF"/>
    <w:rsid w:val="00974CD5"/>
    <w:rsid w:val="0098257A"/>
    <w:rsid w:val="00982651"/>
    <w:rsid w:val="00991CEE"/>
    <w:rsid w:val="00994AF8"/>
    <w:rsid w:val="0099651B"/>
    <w:rsid w:val="009A2ECD"/>
    <w:rsid w:val="009B1574"/>
    <w:rsid w:val="009B17F4"/>
    <w:rsid w:val="009B67DF"/>
    <w:rsid w:val="009C1983"/>
    <w:rsid w:val="009C228C"/>
    <w:rsid w:val="009C3BA5"/>
    <w:rsid w:val="009C7230"/>
    <w:rsid w:val="009D7582"/>
    <w:rsid w:val="009E4491"/>
    <w:rsid w:val="009F0261"/>
    <w:rsid w:val="009F3621"/>
    <w:rsid w:val="009F4BE2"/>
    <w:rsid w:val="009F7072"/>
    <w:rsid w:val="00A00339"/>
    <w:rsid w:val="00A10F3A"/>
    <w:rsid w:val="00A1660D"/>
    <w:rsid w:val="00A17CD6"/>
    <w:rsid w:val="00A20DB1"/>
    <w:rsid w:val="00A24B8F"/>
    <w:rsid w:val="00A2779C"/>
    <w:rsid w:val="00A27C34"/>
    <w:rsid w:val="00A27E2F"/>
    <w:rsid w:val="00A332E0"/>
    <w:rsid w:val="00A34CC1"/>
    <w:rsid w:val="00A41A8E"/>
    <w:rsid w:val="00A42B67"/>
    <w:rsid w:val="00A42EBA"/>
    <w:rsid w:val="00A43DAD"/>
    <w:rsid w:val="00A45A2A"/>
    <w:rsid w:val="00A478B6"/>
    <w:rsid w:val="00A47926"/>
    <w:rsid w:val="00A50AB0"/>
    <w:rsid w:val="00A54A83"/>
    <w:rsid w:val="00A556D8"/>
    <w:rsid w:val="00A615DF"/>
    <w:rsid w:val="00A64BC3"/>
    <w:rsid w:val="00A64CB1"/>
    <w:rsid w:val="00A65726"/>
    <w:rsid w:val="00A72326"/>
    <w:rsid w:val="00A7256C"/>
    <w:rsid w:val="00A777C2"/>
    <w:rsid w:val="00A80C24"/>
    <w:rsid w:val="00A829CC"/>
    <w:rsid w:val="00A86FAD"/>
    <w:rsid w:val="00A9115F"/>
    <w:rsid w:val="00A92E64"/>
    <w:rsid w:val="00A93DFD"/>
    <w:rsid w:val="00A9437E"/>
    <w:rsid w:val="00A94FD4"/>
    <w:rsid w:val="00A976FC"/>
    <w:rsid w:val="00A97919"/>
    <w:rsid w:val="00AA0CCC"/>
    <w:rsid w:val="00AA2181"/>
    <w:rsid w:val="00AA52F9"/>
    <w:rsid w:val="00AA7513"/>
    <w:rsid w:val="00AA7648"/>
    <w:rsid w:val="00AB2913"/>
    <w:rsid w:val="00AB6F72"/>
    <w:rsid w:val="00AC0A6F"/>
    <w:rsid w:val="00AC7767"/>
    <w:rsid w:val="00AD5473"/>
    <w:rsid w:val="00AD73A8"/>
    <w:rsid w:val="00AD77BB"/>
    <w:rsid w:val="00AD7D9C"/>
    <w:rsid w:val="00AE0EC1"/>
    <w:rsid w:val="00AE4BAF"/>
    <w:rsid w:val="00AF2514"/>
    <w:rsid w:val="00B03C7A"/>
    <w:rsid w:val="00B0746D"/>
    <w:rsid w:val="00B14F72"/>
    <w:rsid w:val="00B17964"/>
    <w:rsid w:val="00B20E96"/>
    <w:rsid w:val="00B21623"/>
    <w:rsid w:val="00B2186A"/>
    <w:rsid w:val="00B242FB"/>
    <w:rsid w:val="00B26E05"/>
    <w:rsid w:val="00B27015"/>
    <w:rsid w:val="00B27EF4"/>
    <w:rsid w:val="00B32C0D"/>
    <w:rsid w:val="00B4085A"/>
    <w:rsid w:val="00B41123"/>
    <w:rsid w:val="00B45F2C"/>
    <w:rsid w:val="00B47C0D"/>
    <w:rsid w:val="00B5052D"/>
    <w:rsid w:val="00B508EE"/>
    <w:rsid w:val="00B5123F"/>
    <w:rsid w:val="00B5691B"/>
    <w:rsid w:val="00B57818"/>
    <w:rsid w:val="00B63AD4"/>
    <w:rsid w:val="00B64F2C"/>
    <w:rsid w:val="00B66715"/>
    <w:rsid w:val="00B67941"/>
    <w:rsid w:val="00B7253D"/>
    <w:rsid w:val="00B746E4"/>
    <w:rsid w:val="00B757A6"/>
    <w:rsid w:val="00B82436"/>
    <w:rsid w:val="00B92AD2"/>
    <w:rsid w:val="00B934EA"/>
    <w:rsid w:val="00B944FF"/>
    <w:rsid w:val="00BA2FEA"/>
    <w:rsid w:val="00BA376F"/>
    <w:rsid w:val="00BA6574"/>
    <w:rsid w:val="00BB2C68"/>
    <w:rsid w:val="00BB3A45"/>
    <w:rsid w:val="00BB5BF3"/>
    <w:rsid w:val="00BC3427"/>
    <w:rsid w:val="00BC3F22"/>
    <w:rsid w:val="00BC4031"/>
    <w:rsid w:val="00BC6A51"/>
    <w:rsid w:val="00BD246C"/>
    <w:rsid w:val="00BE72B5"/>
    <w:rsid w:val="00BF152C"/>
    <w:rsid w:val="00BF3534"/>
    <w:rsid w:val="00BF6182"/>
    <w:rsid w:val="00BF6D20"/>
    <w:rsid w:val="00BF7662"/>
    <w:rsid w:val="00C0404E"/>
    <w:rsid w:val="00C042BF"/>
    <w:rsid w:val="00C04859"/>
    <w:rsid w:val="00C05E82"/>
    <w:rsid w:val="00C126D1"/>
    <w:rsid w:val="00C17D39"/>
    <w:rsid w:val="00C212BB"/>
    <w:rsid w:val="00C3079A"/>
    <w:rsid w:val="00C315EE"/>
    <w:rsid w:val="00C316AD"/>
    <w:rsid w:val="00C3793D"/>
    <w:rsid w:val="00C40EF3"/>
    <w:rsid w:val="00C42421"/>
    <w:rsid w:val="00C54EA6"/>
    <w:rsid w:val="00C57225"/>
    <w:rsid w:val="00C6062E"/>
    <w:rsid w:val="00C63470"/>
    <w:rsid w:val="00C6405D"/>
    <w:rsid w:val="00C66B0C"/>
    <w:rsid w:val="00C71F11"/>
    <w:rsid w:val="00C73856"/>
    <w:rsid w:val="00C75094"/>
    <w:rsid w:val="00C77493"/>
    <w:rsid w:val="00C861D7"/>
    <w:rsid w:val="00C866B3"/>
    <w:rsid w:val="00C87B67"/>
    <w:rsid w:val="00C9124B"/>
    <w:rsid w:val="00C91837"/>
    <w:rsid w:val="00C95CF8"/>
    <w:rsid w:val="00CA00A8"/>
    <w:rsid w:val="00CA4B9B"/>
    <w:rsid w:val="00CA601E"/>
    <w:rsid w:val="00CB0694"/>
    <w:rsid w:val="00CB07C9"/>
    <w:rsid w:val="00CB2240"/>
    <w:rsid w:val="00CB38A6"/>
    <w:rsid w:val="00CB3A63"/>
    <w:rsid w:val="00CB4940"/>
    <w:rsid w:val="00CB510F"/>
    <w:rsid w:val="00CB7889"/>
    <w:rsid w:val="00CB7AA6"/>
    <w:rsid w:val="00CC173A"/>
    <w:rsid w:val="00CC3DE8"/>
    <w:rsid w:val="00CC47AD"/>
    <w:rsid w:val="00CC7041"/>
    <w:rsid w:val="00CD50FF"/>
    <w:rsid w:val="00CD51EF"/>
    <w:rsid w:val="00CD5BFF"/>
    <w:rsid w:val="00CE00F0"/>
    <w:rsid w:val="00CE6227"/>
    <w:rsid w:val="00CE6B3B"/>
    <w:rsid w:val="00CE7BC0"/>
    <w:rsid w:val="00CF31B4"/>
    <w:rsid w:val="00D02CA5"/>
    <w:rsid w:val="00D1768B"/>
    <w:rsid w:val="00D21BBB"/>
    <w:rsid w:val="00D22B0E"/>
    <w:rsid w:val="00D24D25"/>
    <w:rsid w:val="00D30BD1"/>
    <w:rsid w:val="00D30F6E"/>
    <w:rsid w:val="00D3174A"/>
    <w:rsid w:val="00D3464F"/>
    <w:rsid w:val="00D35107"/>
    <w:rsid w:val="00D356C4"/>
    <w:rsid w:val="00D35AC5"/>
    <w:rsid w:val="00D40307"/>
    <w:rsid w:val="00D42B82"/>
    <w:rsid w:val="00D43554"/>
    <w:rsid w:val="00D443B4"/>
    <w:rsid w:val="00D47C38"/>
    <w:rsid w:val="00D50B05"/>
    <w:rsid w:val="00D50F22"/>
    <w:rsid w:val="00D51558"/>
    <w:rsid w:val="00D51BEC"/>
    <w:rsid w:val="00D5279C"/>
    <w:rsid w:val="00D55886"/>
    <w:rsid w:val="00D63350"/>
    <w:rsid w:val="00D64CC2"/>
    <w:rsid w:val="00D67D02"/>
    <w:rsid w:val="00D71071"/>
    <w:rsid w:val="00D73524"/>
    <w:rsid w:val="00D74D0C"/>
    <w:rsid w:val="00D7548B"/>
    <w:rsid w:val="00D757CB"/>
    <w:rsid w:val="00D82F60"/>
    <w:rsid w:val="00D830B9"/>
    <w:rsid w:val="00D837A5"/>
    <w:rsid w:val="00D84B08"/>
    <w:rsid w:val="00D85FFE"/>
    <w:rsid w:val="00D90915"/>
    <w:rsid w:val="00D93F8B"/>
    <w:rsid w:val="00DA3101"/>
    <w:rsid w:val="00DA3F53"/>
    <w:rsid w:val="00DA7E17"/>
    <w:rsid w:val="00DB6086"/>
    <w:rsid w:val="00DC123D"/>
    <w:rsid w:val="00DC7F64"/>
    <w:rsid w:val="00DD0F17"/>
    <w:rsid w:val="00DD3291"/>
    <w:rsid w:val="00DD5448"/>
    <w:rsid w:val="00DD6F4E"/>
    <w:rsid w:val="00DE3574"/>
    <w:rsid w:val="00DE439C"/>
    <w:rsid w:val="00DE592C"/>
    <w:rsid w:val="00DF5818"/>
    <w:rsid w:val="00DF72D3"/>
    <w:rsid w:val="00E10D67"/>
    <w:rsid w:val="00E12422"/>
    <w:rsid w:val="00E169B9"/>
    <w:rsid w:val="00E17E83"/>
    <w:rsid w:val="00E22A87"/>
    <w:rsid w:val="00E23C88"/>
    <w:rsid w:val="00E2627E"/>
    <w:rsid w:val="00E32B40"/>
    <w:rsid w:val="00E33648"/>
    <w:rsid w:val="00E40401"/>
    <w:rsid w:val="00E4079F"/>
    <w:rsid w:val="00E458A7"/>
    <w:rsid w:val="00E465D2"/>
    <w:rsid w:val="00E506F7"/>
    <w:rsid w:val="00E51A40"/>
    <w:rsid w:val="00E5493B"/>
    <w:rsid w:val="00E56B68"/>
    <w:rsid w:val="00E570F3"/>
    <w:rsid w:val="00E70974"/>
    <w:rsid w:val="00E72AE2"/>
    <w:rsid w:val="00E741B6"/>
    <w:rsid w:val="00E75968"/>
    <w:rsid w:val="00E85EE6"/>
    <w:rsid w:val="00E86A2F"/>
    <w:rsid w:val="00E86C45"/>
    <w:rsid w:val="00E92566"/>
    <w:rsid w:val="00E938D3"/>
    <w:rsid w:val="00E95430"/>
    <w:rsid w:val="00E96B75"/>
    <w:rsid w:val="00EA0BCF"/>
    <w:rsid w:val="00EA2F0F"/>
    <w:rsid w:val="00EA3261"/>
    <w:rsid w:val="00EA480B"/>
    <w:rsid w:val="00EA4859"/>
    <w:rsid w:val="00EA587A"/>
    <w:rsid w:val="00EB17E1"/>
    <w:rsid w:val="00EB301B"/>
    <w:rsid w:val="00EC0DAD"/>
    <w:rsid w:val="00EC2B18"/>
    <w:rsid w:val="00EC3D5B"/>
    <w:rsid w:val="00EC7205"/>
    <w:rsid w:val="00EC7368"/>
    <w:rsid w:val="00ED1834"/>
    <w:rsid w:val="00ED4FC0"/>
    <w:rsid w:val="00ED5D00"/>
    <w:rsid w:val="00ED7A44"/>
    <w:rsid w:val="00EE5D0A"/>
    <w:rsid w:val="00EE5F9C"/>
    <w:rsid w:val="00EF0694"/>
    <w:rsid w:val="00EF2FD4"/>
    <w:rsid w:val="00EF37FD"/>
    <w:rsid w:val="00EF3DB7"/>
    <w:rsid w:val="00EF4BE6"/>
    <w:rsid w:val="00EF4FC7"/>
    <w:rsid w:val="00EF5A25"/>
    <w:rsid w:val="00F03892"/>
    <w:rsid w:val="00F05BDD"/>
    <w:rsid w:val="00F07F94"/>
    <w:rsid w:val="00F11E96"/>
    <w:rsid w:val="00F13428"/>
    <w:rsid w:val="00F13569"/>
    <w:rsid w:val="00F13AA8"/>
    <w:rsid w:val="00F13EC0"/>
    <w:rsid w:val="00F13ED2"/>
    <w:rsid w:val="00F14AC9"/>
    <w:rsid w:val="00F151E4"/>
    <w:rsid w:val="00F16D43"/>
    <w:rsid w:val="00F17626"/>
    <w:rsid w:val="00F2258B"/>
    <w:rsid w:val="00F22CE9"/>
    <w:rsid w:val="00F22D2A"/>
    <w:rsid w:val="00F23152"/>
    <w:rsid w:val="00F255CA"/>
    <w:rsid w:val="00F26FA8"/>
    <w:rsid w:val="00F3139F"/>
    <w:rsid w:val="00F3157D"/>
    <w:rsid w:val="00F3187A"/>
    <w:rsid w:val="00F32754"/>
    <w:rsid w:val="00F41B79"/>
    <w:rsid w:val="00F4223E"/>
    <w:rsid w:val="00F464AB"/>
    <w:rsid w:val="00F47B03"/>
    <w:rsid w:val="00F51FCD"/>
    <w:rsid w:val="00F552A1"/>
    <w:rsid w:val="00F565CE"/>
    <w:rsid w:val="00F7022C"/>
    <w:rsid w:val="00F719A0"/>
    <w:rsid w:val="00F75442"/>
    <w:rsid w:val="00F7740E"/>
    <w:rsid w:val="00F811A4"/>
    <w:rsid w:val="00F86996"/>
    <w:rsid w:val="00F941EE"/>
    <w:rsid w:val="00F954CE"/>
    <w:rsid w:val="00F954DB"/>
    <w:rsid w:val="00F9644B"/>
    <w:rsid w:val="00FA0F9A"/>
    <w:rsid w:val="00FA2D33"/>
    <w:rsid w:val="00FA3B50"/>
    <w:rsid w:val="00FA4C31"/>
    <w:rsid w:val="00FA6D48"/>
    <w:rsid w:val="00FA7400"/>
    <w:rsid w:val="00FB63F8"/>
    <w:rsid w:val="00FC1642"/>
    <w:rsid w:val="00FC1D8C"/>
    <w:rsid w:val="00FC2777"/>
    <w:rsid w:val="00FC2CE7"/>
    <w:rsid w:val="00FC3B9D"/>
    <w:rsid w:val="00FD6184"/>
    <w:rsid w:val="00FE16F3"/>
    <w:rsid w:val="00FE2B4C"/>
    <w:rsid w:val="00FE7457"/>
    <w:rsid w:val="00FE7C62"/>
    <w:rsid w:val="00FF261C"/>
    <w:rsid w:val="00FF7CCC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78E0BC"/>
  <w15:docId w15:val="{A0725095-80E1-498F-B427-DDE847C9D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450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64501"/>
    <w:pPr>
      <w:keepNext/>
      <w:ind w:right="37"/>
      <w:jc w:val="both"/>
      <w:outlineLvl w:val="0"/>
    </w:pPr>
    <w:rPr>
      <w:rFonts w:ascii="Tahoma" w:hAnsi="Tahoma" w:cs="Tahoma"/>
      <w:i/>
      <w:sz w:val="20"/>
    </w:rPr>
  </w:style>
  <w:style w:type="paragraph" w:styleId="Ttulo3">
    <w:name w:val="heading 3"/>
    <w:basedOn w:val="Normal"/>
    <w:next w:val="Normal"/>
    <w:qFormat/>
    <w:rsid w:val="001666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64501"/>
    <w:pPr>
      <w:tabs>
        <w:tab w:val="center" w:pos="4419"/>
        <w:tab w:val="right" w:pos="8838"/>
      </w:tabs>
    </w:pPr>
    <w:rPr>
      <w:rFonts w:ascii="Arial" w:hAnsi="Arial"/>
    </w:rPr>
  </w:style>
  <w:style w:type="character" w:styleId="Hipervnculo">
    <w:name w:val="Hyperlink"/>
    <w:rsid w:val="000257F8"/>
    <w:rPr>
      <w:rFonts w:cs="Times New Roman"/>
      <w:color w:val="0000FF"/>
      <w:u w:val="single"/>
    </w:rPr>
  </w:style>
  <w:style w:type="paragraph" w:styleId="Textodeglobo">
    <w:name w:val="Balloon Text"/>
    <w:basedOn w:val="Normal"/>
    <w:semiHidden/>
    <w:rsid w:val="00C04859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A72326"/>
    <w:rPr>
      <w:rFonts w:cs="Times New Roman"/>
      <w:color w:val="800080"/>
      <w:u w:val="single"/>
    </w:rPr>
  </w:style>
  <w:style w:type="table" w:styleId="Tablaconcuadrcula">
    <w:name w:val="Table Grid"/>
    <w:basedOn w:val="Tablanormal"/>
    <w:rsid w:val="001666C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rsid w:val="0059114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91140"/>
  </w:style>
  <w:style w:type="character" w:styleId="Refdenotaalpie">
    <w:name w:val="footnote reference"/>
    <w:rsid w:val="00591140"/>
    <w:rPr>
      <w:vertAlign w:val="superscript"/>
    </w:rPr>
  </w:style>
  <w:style w:type="character" w:customStyle="1" w:styleId="apple-converted-space">
    <w:name w:val="apple-converted-space"/>
    <w:basedOn w:val="Fuentedeprrafopredeter"/>
    <w:rsid w:val="00EC0DAD"/>
  </w:style>
  <w:style w:type="character" w:styleId="Refdecomentario">
    <w:name w:val="annotation reference"/>
    <w:basedOn w:val="Fuentedeprrafopredeter"/>
    <w:uiPriority w:val="99"/>
    <w:semiHidden/>
    <w:unhideWhenUsed/>
    <w:rsid w:val="0045415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415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415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5415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54154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8A2E0B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555A494B3DAA40A40699B2F00C4C95" ma:contentTypeVersion="2" ma:contentTypeDescription="Crear nuevo documento." ma:contentTypeScope="" ma:versionID="204a3ea384d738644f511ff0461176ce">
  <xsd:schema xmlns:xsd="http://www.w3.org/2001/XMLSchema" xmlns:xs="http://www.w3.org/2001/XMLSchema" xmlns:p="http://schemas.microsoft.com/office/2006/metadata/properties" xmlns:ns2="261677fe-61b0-4f11-bdc4-73dbac061fa3" targetNamespace="http://schemas.microsoft.com/office/2006/metadata/properties" ma:root="true" ma:fieldsID="0958c32de00b09a374e4edc65c2c47ca" ns2:_="">
    <xsd:import namespace="261677fe-61b0-4f11-bdc4-73dbac061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677fe-61b0-4f11-bdc4-73dbac06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BFDC2A-7004-48BB-B0C9-2780B465B0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879535-D611-42D7-B2A1-45CAD935A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1677fe-61b0-4f11-bdc4-73dbac061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6DDA3F-C759-431D-A9A3-6FE59D5851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664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indicador:</vt:lpstr>
    </vt:vector>
  </TitlesOfParts>
  <Company>INEE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indicador:</dc:title>
  <dc:creator>Rubén Sánchez</dc:creator>
  <cp:lastModifiedBy>NAA</cp:lastModifiedBy>
  <cp:revision>227</cp:revision>
  <cp:lastPrinted>2011-06-13T15:13:00Z</cp:lastPrinted>
  <dcterms:created xsi:type="dcterms:W3CDTF">2013-08-30T21:20:00Z</dcterms:created>
  <dcterms:modified xsi:type="dcterms:W3CDTF">2019-05-27T15:20:00Z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0x0101005D555A494B3DAA40A40699B2F00C4C95</vt:lpwstr>
  </property>
</Properties>
</file>