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3256E9" w14:textId="77777777" w:rsidR="00EC2A75" w:rsidRDefault="00570553" w:rsidP="00E509F4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A538A7" wp14:editId="237B6817">
                <wp:simplePos x="0" y="0"/>
                <wp:positionH relativeFrom="column">
                  <wp:posOffset>-46465</wp:posOffset>
                </wp:positionH>
                <wp:positionV relativeFrom="paragraph">
                  <wp:posOffset>117972</wp:posOffset>
                </wp:positionV>
                <wp:extent cx="936625" cy="341906"/>
                <wp:effectExtent l="0" t="0" r="15875" b="2032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6625" cy="34190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35E47E3" w14:textId="09F411FD" w:rsidR="00043900" w:rsidRPr="0059359F" w:rsidRDefault="00043900" w:rsidP="00477BDF">
                            <w:pPr>
                              <w:rPr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59359F">
                              <w:rPr>
                                <w:sz w:val="20"/>
                                <w:szCs w:val="20"/>
                                <w:lang w:val="es-MX"/>
                              </w:rPr>
                              <w:t>PG02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A538A7" id="AutoShape 2" o:spid="_x0000_s1026" style="position:absolute;margin-left:-3.65pt;margin-top:9.3pt;width:73.75pt;height:26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">
                <v:textbox>
                  <w:txbxContent>
                    <w:p w14:paraId="035E47E3" w14:textId="09F411FD" w:rsidR="00043900" w:rsidRPr="0059359F" w:rsidRDefault="00043900" w:rsidP="00477BDF">
                      <w:pPr>
                        <w:rPr>
                          <w:sz w:val="20"/>
                          <w:szCs w:val="20"/>
                          <w:lang w:val="es-MX"/>
                        </w:rPr>
                      </w:pPr>
                      <w:r w:rsidRPr="0059359F">
                        <w:rPr>
                          <w:sz w:val="20"/>
                          <w:szCs w:val="20"/>
                          <w:lang w:val="es-MX"/>
                        </w:rPr>
                        <w:t>PG02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B3CF96C" w14:textId="77777777" w:rsidR="00EC2A75" w:rsidRDefault="00EC2A75"/>
    <w:p w14:paraId="3D39505E" w14:textId="77777777" w:rsidR="0059359F" w:rsidRDefault="005935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0"/>
      </w:tblGrid>
      <w:tr w:rsidR="001E41A7" w:rsidRPr="00F42269" w14:paraId="069CB220" w14:textId="77777777">
        <w:trPr>
          <w:trHeight w:val="518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FF76" w14:textId="77777777" w:rsidR="00FC46D6" w:rsidRDefault="007764D7" w:rsidP="00FC46D6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14:paraId="05713F7E" w14:textId="153BAE68" w:rsidR="001E41A7" w:rsidRDefault="0084752A" w:rsidP="00FC46D6">
            <w:pPr>
              <w:tabs>
                <w:tab w:val="left" w:pos="0"/>
              </w:tabs>
              <w:ind w:right="110"/>
              <w:rPr>
                <w:rFonts w:cs="Arial"/>
                <w:bCs/>
                <w:sz w:val="16"/>
                <w:szCs w:val="16"/>
              </w:rPr>
            </w:pPr>
            <w:r w:rsidRPr="0084752A">
              <w:rPr>
                <w:rFonts w:cs="Arial"/>
                <w:bCs/>
                <w:sz w:val="16"/>
                <w:szCs w:val="16"/>
              </w:rPr>
              <w:t xml:space="preserve">Porcentaje de </w:t>
            </w:r>
            <w:r w:rsidR="00366ABF">
              <w:rPr>
                <w:rFonts w:cs="Arial"/>
                <w:bCs/>
                <w:sz w:val="16"/>
                <w:szCs w:val="16"/>
              </w:rPr>
              <w:t>supervisiones es</w:t>
            </w:r>
            <w:r w:rsidRPr="0084752A">
              <w:rPr>
                <w:rFonts w:cs="Arial"/>
                <w:bCs/>
                <w:sz w:val="16"/>
                <w:szCs w:val="16"/>
              </w:rPr>
              <w:t>colares</w:t>
            </w:r>
            <w:r w:rsidR="00517965">
              <w:rPr>
                <w:rFonts w:cs="Arial"/>
                <w:bCs/>
                <w:sz w:val="16"/>
                <w:szCs w:val="16"/>
              </w:rPr>
              <w:t xml:space="preserve"> de educación básica</w:t>
            </w:r>
            <w:r w:rsidR="004E1BCB"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84752A">
              <w:rPr>
                <w:rFonts w:cs="Arial"/>
                <w:bCs/>
                <w:sz w:val="16"/>
                <w:szCs w:val="16"/>
              </w:rPr>
              <w:t>integr</w:t>
            </w:r>
            <w:r w:rsidR="00DA47A5">
              <w:rPr>
                <w:rFonts w:cs="Arial"/>
                <w:bCs/>
                <w:sz w:val="16"/>
                <w:szCs w:val="16"/>
              </w:rPr>
              <w:t xml:space="preserve">adas </w:t>
            </w:r>
            <w:r w:rsidR="00912413">
              <w:rPr>
                <w:rFonts w:cs="Arial"/>
                <w:bCs/>
                <w:sz w:val="16"/>
                <w:szCs w:val="16"/>
              </w:rPr>
              <w:t xml:space="preserve">por más de 20 </w:t>
            </w:r>
            <w:r w:rsidR="004E1BCB">
              <w:rPr>
                <w:rFonts w:cs="Arial"/>
                <w:bCs/>
                <w:sz w:val="16"/>
                <w:szCs w:val="16"/>
              </w:rPr>
              <w:t>escuelas</w:t>
            </w:r>
            <w:r w:rsidR="00366ABF" w:rsidRPr="00366ABF">
              <w:rPr>
                <w:rFonts w:cs="Arial"/>
                <w:bCs/>
                <w:sz w:val="16"/>
                <w:szCs w:val="16"/>
                <w:vertAlign w:val="superscript"/>
              </w:rPr>
              <w:t>1</w:t>
            </w:r>
          </w:p>
          <w:p w14:paraId="649D6E48" w14:textId="77777777" w:rsidR="000D6CE2" w:rsidRPr="00A0444E" w:rsidRDefault="000D6CE2" w:rsidP="00FC46D6">
            <w:pPr>
              <w:tabs>
                <w:tab w:val="left" w:pos="0"/>
              </w:tabs>
              <w:ind w:right="110"/>
              <w:rPr>
                <w:rFonts w:cs="Arial"/>
                <w:bCs/>
                <w:sz w:val="16"/>
                <w:szCs w:val="16"/>
              </w:rPr>
            </w:pPr>
          </w:p>
        </w:tc>
      </w:tr>
      <w:tr w:rsidR="001E41A7" w:rsidRPr="00D804F7" w14:paraId="56B556DF" w14:textId="77777777" w:rsidTr="00263E91">
        <w:trPr>
          <w:trHeight w:val="678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A33AA" w14:textId="77777777" w:rsidR="00236C81" w:rsidRDefault="001E41A7" w:rsidP="00BF4A40">
            <w:pPr>
              <w:rPr>
                <w:rFonts w:cs="Arial"/>
                <w:sz w:val="16"/>
                <w:szCs w:val="16"/>
              </w:rPr>
            </w:pPr>
            <w:r w:rsidRPr="00D804F7">
              <w:rPr>
                <w:rFonts w:cs="Arial"/>
                <w:b/>
                <w:sz w:val="16"/>
                <w:szCs w:val="16"/>
              </w:rPr>
              <w:t>Definición</w:t>
            </w:r>
          </w:p>
          <w:p w14:paraId="394CE9E2" w14:textId="4070E3C7" w:rsidR="006A4DBA" w:rsidRPr="00477BDF" w:rsidRDefault="00570553" w:rsidP="00366ABF">
            <w:pPr>
              <w:rPr>
                <w:rFonts w:cs="Arial"/>
                <w:sz w:val="16"/>
                <w:szCs w:val="16"/>
              </w:rPr>
            </w:pPr>
            <w:r w:rsidRPr="00570553">
              <w:rPr>
                <w:rFonts w:cs="Arial"/>
                <w:sz w:val="16"/>
                <w:szCs w:val="16"/>
              </w:rPr>
              <w:t xml:space="preserve">Número de </w:t>
            </w:r>
            <w:r w:rsidR="00366ABF">
              <w:rPr>
                <w:rFonts w:cs="Arial"/>
                <w:sz w:val="16"/>
                <w:szCs w:val="16"/>
              </w:rPr>
              <w:t xml:space="preserve">supervisiones </w:t>
            </w:r>
            <w:r w:rsidRPr="00570553">
              <w:rPr>
                <w:rFonts w:cs="Arial"/>
                <w:sz w:val="16"/>
                <w:szCs w:val="16"/>
              </w:rPr>
              <w:t>escolares</w:t>
            </w:r>
            <w:r w:rsidR="00366ABF"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>constituidas por más de 20 escuelas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>por cada cien</w:t>
            </w:r>
            <w:r w:rsidR="003A72CA">
              <w:rPr>
                <w:rFonts w:cs="Arial"/>
                <w:sz w:val="16"/>
                <w:szCs w:val="16"/>
              </w:rPr>
              <w:t>.</w:t>
            </w:r>
            <w:commentRangeStart w:id="0"/>
            <w:commentRangeEnd w:id="0"/>
          </w:p>
        </w:tc>
      </w:tr>
      <w:tr w:rsidR="001E41A7" w:rsidRPr="00D804F7" w14:paraId="5C28315E" w14:textId="77777777">
        <w:trPr>
          <w:trHeight w:val="1530"/>
        </w:trPr>
        <w:tc>
          <w:tcPr>
            <w:tcW w:w="83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285B4" w14:textId="77777777" w:rsidR="00477BDF" w:rsidRDefault="00477BDF" w:rsidP="00B53271">
            <w:pPr>
              <w:ind w:right="-70"/>
              <w:rPr>
                <w:rFonts w:cs="Arial"/>
                <w:b/>
                <w:sz w:val="16"/>
                <w:szCs w:val="16"/>
              </w:rPr>
            </w:pPr>
          </w:p>
          <w:p w14:paraId="785FF1F3" w14:textId="77777777" w:rsidR="001E41A7" w:rsidRPr="00A0444E" w:rsidRDefault="00ED2CD6" w:rsidP="00B53271">
            <w:pPr>
              <w:ind w:right="-70"/>
              <w:rPr>
                <w:rFonts w:cs="Arial"/>
                <w:b/>
                <w:sz w:val="16"/>
                <w:szCs w:val="16"/>
                <w:lang w:val="pt-BR"/>
              </w:rPr>
            </w:pPr>
            <w:r w:rsidRPr="00A0444E">
              <w:rPr>
                <w:rFonts w:cs="Arial"/>
                <w:b/>
                <w:sz w:val="16"/>
                <w:szCs w:val="16"/>
                <w:lang w:val="pt-BR"/>
              </w:rPr>
              <w:t>Fó</w:t>
            </w:r>
            <w:r w:rsidR="001E41A7" w:rsidRPr="00A0444E">
              <w:rPr>
                <w:rFonts w:cs="Arial"/>
                <w:b/>
                <w:sz w:val="16"/>
                <w:szCs w:val="16"/>
                <w:lang w:val="pt-BR"/>
              </w:rPr>
              <w:t xml:space="preserve">rmula de </w:t>
            </w:r>
            <w:r w:rsidR="007764D7">
              <w:rPr>
                <w:rFonts w:cs="Arial"/>
                <w:b/>
                <w:sz w:val="16"/>
                <w:szCs w:val="16"/>
                <w:lang w:val="pt-BR"/>
              </w:rPr>
              <w:t>cálculo</w:t>
            </w:r>
          </w:p>
          <w:p w14:paraId="13D1F3E3" w14:textId="77777777" w:rsidR="00263E91" w:rsidRPr="003C7C88" w:rsidRDefault="00240822" w:rsidP="00263E91">
            <w:pPr>
              <w:ind w:right="-70"/>
              <w:jc w:val="center"/>
              <w:rPr>
                <w:rFonts w:cs="Arial"/>
                <w:b/>
                <w:color w:val="0000FF"/>
                <w:sz w:val="16"/>
                <w:szCs w:val="16"/>
              </w:rPr>
            </w:pPr>
            <w:r w:rsidRPr="00B8033B">
              <w:rPr>
                <w:rFonts w:cs="Arial"/>
                <w:color w:val="0000FF"/>
                <w:position w:val="-24"/>
                <w:sz w:val="16"/>
                <w:szCs w:val="16"/>
              </w:rPr>
              <w:object w:dxaOrig="999" w:dyaOrig="620" w14:anchorId="5054F2E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44.25pt" o:ole="">
                  <v:imagedata r:id="rId6" o:title=""/>
                </v:shape>
                <o:OLEObject Type="Embed" ProgID="Equation.3" ShapeID="_x0000_i1025" DrawAspect="Content" ObjectID="_1615665063" r:id="rId7"/>
              </w:object>
            </w:r>
          </w:p>
          <w:p w14:paraId="788601A3" w14:textId="77777777" w:rsidR="00263E91" w:rsidRPr="003C7C88" w:rsidRDefault="00263E91" w:rsidP="00263E91">
            <w:pPr>
              <w:ind w:right="-70"/>
              <w:jc w:val="center"/>
              <w:rPr>
                <w:rFonts w:cs="Arial"/>
                <w:b/>
                <w:color w:val="0000FF"/>
                <w:sz w:val="16"/>
                <w:szCs w:val="16"/>
              </w:rPr>
            </w:pPr>
          </w:p>
          <w:tbl>
            <w:tblPr>
              <w:tblpPr w:leftFromText="141" w:rightFromText="141" w:vertAnchor="text" w:horzAnchor="page" w:tblpX="1992" w:tblpY="73"/>
              <w:tblOverlap w:val="never"/>
              <w:tblW w:w="5000" w:type="pct"/>
              <w:tblLayout w:type="fixed"/>
              <w:tblLook w:val="01E0" w:firstRow="1" w:lastRow="1" w:firstColumn="1" w:lastColumn="1" w:noHBand="0" w:noVBand="0"/>
            </w:tblPr>
            <w:tblGrid>
              <w:gridCol w:w="1233"/>
              <w:gridCol w:w="6977"/>
            </w:tblGrid>
            <w:tr w:rsidR="00263E91" w:rsidRPr="000A1A9C" w14:paraId="0669FF29" w14:textId="77777777" w:rsidTr="0032202B">
              <w:trPr>
                <w:trHeight w:val="130"/>
              </w:trPr>
              <w:tc>
                <w:tcPr>
                  <w:tcW w:w="751" w:type="pct"/>
                </w:tcPr>
                <w:p w14:paraId="47F9B091" w14:textId="77777777" w:rsidR="00263E91" w:rsidRPr="00240822" w:rsidRDefault="00240822" w:rsidP="0032202B">
                  <w:pPr>
                    <w:ind w:right="-70"/>
                    <w:jc w:val="center"/>
                    <w:rPr>
                      <w:rFonts w:cs="Arial"/>
                      <w:b/>
                      <w:sz w:val="16"/>
                      <w:szCs w:val="16"/>
                      <w:highlight w:val="yellow"/>
                    </w:rPr>
                  </w:pPr>
                  <w:r w:rsidRPr="00B8033B">
                    <w:rPr>
                      <w:rFonts w:cs="Arial"/>
                      <w:position w:val="-10"/>
                      <w:sz w:val="16"/>
                      <w:szCs w:val="16"/>
                    </w:rPr>
                    <w:object w:dxaOrig="400" w:dyaOrig="340" w14:anchorId="65F84D41">
                      <v:shape id="_x0000_i1026" type="#_x0000_t75" style="width:35.25pt;height:19.5pt" o:ole="" fillcolor="window">
                        <v:imagedata r:id="rId8" o:title=""/>
                      </v:shape>
                      <o:OLEObject Type="Embed" ProgID="Equation.3" ShapeID="_x0000_i1026" DrawAspect="Content" ObjectID="_1615665064" r:id="rId9"/>
                    </w:object>
                  </w:r>
                </w:p>
              </w:tc>
              <w:tc>
                <w:tcPr>
                  <w:tcW w:w="4249" w:type="pct"/>
                  <w:tcMar>
                    <w:left w:w="57" w:type="dxa"/>
                    <w:bottom w:w="57" w:type="dxa"/>
                    <w:right w:w="57" w:type="dxa"/>
                  </w:tcMar>
                </w:tcPr>
                <w:p w14:paraId="50F7894F" w14:textId="1E928729" w:rsidR="00263E91" w:rsidRDefault="00263E91" w:rsidP="0032202B">
                  <w:pPr>
                    <w:ind w:right="-70"/>
                    <w:rPr>
                      <w:rFonts w:cs="Arial"/>
                      <w:iCs/>
                      <w:sz w:val="16"/>
                      <w:szCs w:val="16"/>
                    </w:rPr>
                  </w:pPr>
                  <w:r w:rsidRPr="00C518D1">
                    <w:rPr>
                      <w:rFonts w:cs="Arial"/>
                      <w:iCs/>
                      <w:sz w:val="16"/>
                      <w:szCs w:val="16"/>
                    </w:rPr>
                    <w:t xml:space="preserve">Total de </w:t>
                  </w:r>
                  <w:r w:rsidR="001208BF">
                    <w:rPr>
                      <w:rFonts w:cs="Arial"/>
                      <w:iCs/>
                      <w:sz w:val="16"/>
                      <w:szCs w:val="16"/>
                    </w:rPr>
                    <w:t xml:space="preserve">supervisiones </w:t>
                  </w:r>
                  <w:r w:rsidRPr="00ED7A4B">
                    <w:rPr>
                      <w:rFonts w:cs="Arial"/>
                      <w:iCs/>
                      <w:sz w:val="16"/>
                      <w:szCs w:val="16"/>
                    </w:rPr>
                    <w:t xml:space="preserve">escolares </w:t>
                  </w:r>
                  <w:r w:rsidR="009E22D9" w:rsidRPr="00ED7A4B">
                    <w:rPr>
                      <w:rFonts w:cs="Arial"/>
                      <w:iCs/>
                      <w:sz w:val="16"/>
                      <w:szCs w:val="16"/>
                    </w:rPr>
                    <w:t>con</w:t>
                  </w:r>
                  <w:r w:rsidRPr="00ED7A4B">
                    <w:rPr>
                      <w:rFonts w:cs="Arial"/>
                      <w:iCs/>
                      <w:sz w:val="16"/>
                      <w:szCs w:val="16"/>
                    </w:rPr>
                    <w:t xml:space="preserve"> más</w:t>
                  </w:r>
                  <w:r w:rsidR="00A64CA9">
                    <w:rPr>
                      <w:rFonts w:cs="Arial"/>
                      <w:iCs/>
                      <w:sz w:val="16"/>
                      <w:szCs w:val="16"/>
                    </w:rPr>
                    <w:t xml:space="preserve"> de 20 escuelas</w:t>
                  </w:r>
                  <w:r w:rsidR="00B8033B">
                    <w:rPr>
                      <w:rFonts w:cs="Arial"/>
                      <w:iCs/>
                      <w:sz w:val="16"/>
                      <w:szCs w:val="16"/>
                    </w:rPr>
                    <w:t>.</w:t>
                  </w:r>
                </w:p>
                <w:p w14:paraId="435B8559" w14:textId="77777777" w:rsidR="00D56CEF" w:rsidRDefault="00D56CEF" w:rsidP="0032202B">
                  <w:pPr>
                    <w:ind w:right="-70"/>
                    <w:rPr>
                      <w:rFonts w:cs="Arial"/>
                      <w:iCs/>
                      <w:sz w:val="16"/>
                      <w:szCs w:val="16"/>
                    </w:rPr>
                  </w:pPr>
                </w:p>
                <w:p w14:paraId="29178585" w14:textId="77777777" w:rsidR="00D56CEF" w:rsidRPr="00C518D1" w:rsidRDefault="00D56CEF" w:rsidP="0032202B">
                  <w:pPr>
                    <w:ind w:right="-70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63E91" w:rsidRPr="000A1A9C" w14:paraId="56A1EE80" w14:textId="77777777" w:rsidTr="0032202B">
              <w:trPr>
                <w:trHeight w:val="334"/>
              </w:trPr>
              <w:tc>
                <w:tcPr>
                  <w:tcW w:w="751" w:type="pct"/>
                </w:tcPr>
                <w:p w14:paraId="2B6E7215" w14:textId="77777777" w:rsidR="00263E91" w:rsidRPr="000A1A9C" w:rsidRDefault="00263E91" w:rsidP="0032202B">
                  <w:pPr>
                    <w:ind w:right="-70"/>
                    <w:jc w:val="center"/>
                    <w:rPr>
                      <w:rFonts w:cs="Arial"/>
                      <w:iCs/>
                      <w:sz w:val="16"/>
                      <w:szCs w:val="16"/>
                    </w:rPr>
                  </w:pPr>
                  <w:r w:rsidRPr="00C518D1">
                    <w:rPr>
                      <w:rFonts w:cs="Arial"/>
                      <w:position w:val="-4"/>
                      <w:sz w:val="16"/>
                      <w:szCs w:val="16"/>
                    </w:rPr>
                    <w:object w:dxaOrig="200" w:dyaOrig="200" w14:anchorId="01B8AAAE">
                      <v:shape id="_x0000_i1027" type="#_x0000_t75" style="width:14.25pt;height:11.25pt" o:ole="" fillcolor="window">
                        <v:imagedata r:id="rId10" o:title=""/>
                      </v:shape>
                      <o:OLEObject Type="Embed" ProgID="Equation.3" ShapeID="_x0000_i1027" DrawAspect="Content" ObjectID="_1615665065" r:id="rId11"/>
                    </w:object>
                  </w:r>
                </w:p>
              </w:tc>
              <w:tc>
                <w:tcPr>
                  <w:tcW w:w="4249" w:type="pct"/>
                  <w:tcMar>
                    <w:left w:w="57" w:type="dxa"/>
                    <w:bottom w:w="57" w:type="dxa"/>
                    <w:right w:w="57" w:type="dxa"/>
                  </w:tcMar>
                </w:tcPr>
                <w:p w14:paraId="471B4D38" w14:textId="7657F6B3" w:rsidR="00263E91" w:rsidRDefault="00A64CA9" w:rsidP="0032202B">
                  <w:pPr>
                    <w:ind w:right="-70"/>
                    <w:rPr>
                      <w:rFonts w:cs="Arial"/>
                      <w:iCs/>
                      <w:sz w:val="16"/>
                      <w:szCs w:val="16"/>
                      <w:lang w:val="es-MX"/>
                    </w:rPr>
                  </w:pPr>
                  <w:r>
                    <w:rPr>
                      <w:rFonts w:cs="Arial"/>
                      <w:iCs/>
                      <w:sz w:val="16"/>
                      <w:szCs w:val="16"/>
                      <w:lang w:val="es-MX"/>
                    </w:rPr>
                    <w:t xml:space="preserve">Total de </w:t>
                  </w:r>
                  <w:r w:rsidR="001208BF">
                    <w:rPr>
                      <w:rFonts w:cs="Arial"/>
                      <w:iCs/>
                      <w:sz w:val="16"/>
                      <w:szCs w:val="16"/>
                      <w:lang w:val="es-MX"/>
                    </w:rPr>
                    <w:t>supervisiones</w:t>
                  </w:r>
                  <w:r>
                    <w:rPr>
                      <w:rFonts w:cs="Arial"/>
                      <w:iCs/>
                      <w:sz w:val="16"/>
                      <w:szCs w:val="16"/>
                      <w:lang w:val="es-MX"/>
                    </w:rPr>
                    <w:t xml:space="preserve"> escolares</w:t>
                  </w:r>
                  <w:r w:rsidR="00B8033B">
                    <w:rPr>
                      <w:rFonts w:cs="Arial"/>
                      <w:iCs/>
                      <w:sz w:val="16"/>
                      <w:szCs w:val="16"/>
                      <w:lang w:val="es-MX"/>
                    </w:rPr>
                    <w:t>.</w:t>
                  </w:r>
                </w:p>
                <w:p w14:paraId="7D6E4305" w14:textId="77777777" w:rsidR="00D56CEF" w:rsidRDefault="00D56CEF" w:rsidP="0032202B">
                  <w:pPr>
                    <w:ind w:right="-70"/>
                    <w:rPr>
                      <w:rFonts w:cs="Arial"/>
                      <w:iCs/>
                      <w:sz w:val="16"/>
                      <w:szCs w:val="16"/>
                      <w:lang w:val="es-MX"/>
                    </w:rPr>
                  </w:pPr>
                </w:p>
                <w:p w14:paraId="0A0E0351" w14:textId="77777777" w:rsidR="00D56CEF" w:rsidRPr="000A1A9C" w:rsidRDefault="00D56CEF" w:rsidP="0032202B">
                  <w:pPr>
                    <w:ind w:right="-70"/>
                    <w:rPr>
                      <w:rFonts w:cs="Arial"/>
                      <w:iCs/>
                      <w:sz w:val="16"/>
                      <w:szCs w:val="16"/>
                      <w:lang w:val="es-MX"/>
                    </w:rPr>
                  </w:pPr>
                </w:p>
              </w:tc>
            </w:tr>
          </w:tbl>
          <w:p w14:paraId="1D47878F" w14:textId="77777777" w:rsidR="00B41861" w:rsidRPr="008B1454" w:rsidRDefault="00B41861" w:rsidP="00BF4A40">
            <w:pPr>
              <w:rPr>
                <w:rFonts w:cs="Arial"/>
                <w:bCs/>
                <w:sz w:val="16"/>
                <w:szCs w:val="16"/>
              </w:rPr>
            </w:pPr>
          </w:p>
        </w:tc>
      </w:tr>
      <w:tr w:rsidR="001E41A7" w:rsidRPr="00D804F7" w14:paraId="0EA6343E" w14:textId="77777777">
        <w:trPr>
          <w:trHeight w:val="184"/>
        </w:trPr>
        <w:tc>
          <w:tcPr>
            <w:tcW w:w="83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ADABD" w14:textId="77777777" w:rsidR="001E41A7" w:rsidRPr="00D804F7" w:rsidRDefault="001E41A7" w:rsidP="00B53271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1E41A7" w:rsidRPr="0026312F" w14:paraId="547C0A45" w14:textId="77777777">
        <w:trPr>
          <w:trHeight w:val="743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EF1D" w14:textId="77777777" w:rsidR="00291A51" w:rsidRDefault="007764D7" w:rsidP="00A0444E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Interpretación</w:t>
            </w:r>
          </w:p>
          <w:p w14:paraId="3897F50A" w14:textId="27A023D2" w:rsidR="00FF1735" w:rsidRDefault="00570553" w:rsidP="00570553">
            <w:pPr>
              <w:pStyle w:val="Encabezado"/>
              <w:tabs>
                <w:tab w:val="left" w:pos="4500"/>
                <w:tab w:val="left" w:pos="4680"/>
              </w:tabs>
              <w:ind w:right="108"/>
              <w:jc w:val="both"/>
              <w:rPr>
                <w:rFonts w:cs="Arial"/>
                <w:sz w:val="16"/>
                <w:szCs w:val="16"/>
              </w:rPr>
            </w:pPr>
            <w:r w:rsidRPr="00570553">
              <w:rPr>
                <w:rFonts w:cs="Arial"/>
                <w:sz w:val="16"/>
                <w:szCs w:val="16"/>
              </w:rPr>
              <w:t>Este indicador parte del supuesto de que al frente de cada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043900">
              <w:rPr>
                <w:rFonts w:cs="Arial"/>
                <w:sz w:val="16"/>
                <w:szCs w:val="16"/>
              </w:rPr>
              <w:t>supervisión</w:t>
            </w:r>
            <w:r w:rsidR="00043900" w:rsidRPr="00570553"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>escolar existe un supervisor; por lo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>tanto, la información que reporta es una medida aproximada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 xml:space="preserve">del porcentaje de supervisores </w:t>
            </w:r>
            <w:r w:rsidR="00A64CA9">
              <w:rPr>
                <w:rFonts w:cs="Arial"/>
                <w:sz w:val="16"/>
                <w:szCs w:val="16"/>
              </w:rPr>
              <w:t xml:space="preserve">que </w:t>
            </w:r>
            <w:r w:rsidRPr="00570553">
              <w:rPr>
                <w:rFonts w:cs="Arial"/>
                <w:sz w:val="16"/>
                <w:szCs w:val="16"/>
              </w:rPr>
              <w:t>pueden estar enfrentando una sobrecarga de trabajo en sus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>funciones administrativas, pedagógicas y de gestión. El corte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 xml:space="preserve">de 21 escuelas o más </w:t>
            </w:r>
            <w:r w:rsidR="009B007D">
              <w:rPr>
                <w:rFonts w:cs="Arial"/>
                <w:sz w:val="16"/>
                <w:szCs w:val="16"/>
              </w:rPr>
              <w:t>se estableció</w:t>
            </w:r>
            <w:r w:rsidRPr="00570553">
              <w:rPr>
                <w:rFonts w:cs="Arial"/>
                <w:sz w:val="16"/>
                <w:szCs w:val="16"/>
              </w:rPr>
              <w:t xml:space="preserve"> considerando que si los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>supervisores tuvieran que dedicar al menos un día al mes para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>atender a cada escuela bajo su responsabilidad, experimentarían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 xml:space="preserve">serias limitaciones de tiempo para realizar sus labores. </w:t>
            </w:r>
          </w:p>
          <w:p w14:paraId="38A061BE" w14:textId="77777777" w:rsidR="00570553" w:rsidRPr="00B525A2" w:rsidRDefault="00570553" w:rsidP="00570553">
            <w:pPr>
              <w:pStyle w:val="Encabezado"/>
              <w:tabs>
                <w:tab w:val="left" w:pos="4500"/>
                <w:tab w:val="left" w:pos="4680"/>
              </w:tabs>
              <w:ind w:right="108"/>
              <w:jc w:val="both"/>
              <w:rPr>
                <w:rFonts w:cs="Arial"/>
                <w:sz w:val="16"/>
                <w:szCs w:val="16"/>
              </w:rPr>
            </w:pPr>
          </w:p>
          <w:p w14:paraId="7BD27915" w14:textId="1854A5E5" w:rsidR="00DA519B" w:rsidRPr="00700874" w:rsidRDefault="00570553" w:rsidP="005C0D57">
            <w:pPr>
              <w:pStyle w:val="Encabezado"/>
              <w:tabs>
                <w:tab w:val="left" w:pos="4500"/>
                <w:tab w:val="left" w:pos="4680"/>
              </w:tabs>
              <w:ind w:right="108"/>
              <w:jc w:val="both"/>
              <w:rPr>
                <w:rFonts w:cs="Arial"/>
                <w:sz w:val="16"/>
                <w:szCs w:val="16"/>
              </w:rPr>
            </w:pPr>
            <w:r w:rsidRPr="00570553">
              <w:rPr>
                <w:rFonts w:cs="Arial"/>
                <w:sz w:val="16"/>
                <w:szCs w:val="16"/>
              </w:rPr>
              <w:t>Es importante resaltar que la complejidad de las tareas que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>tiene que desarrollar un supervisor no depende únicamente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>del número de escuelas bajo su responsabilidad, sino de las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 xml:space="preserve">condiciones particulares de los centros educativos </w:t>
            </w:r>
            <w:r w:rsidRPr="00D4515B">
              <w:rPr>
                <w:rFonts w:cs="Arial"/>
                <w:sz w:val="16"/>
                <w:szCs w:val="16"/>
              </w:rPr>
              <w:t>que supervisan</w:t>
            </w:r>
            <w:r w:rsidR="00A0230F" w:rsidRPr="00D4515B">
              <w:rPr>
                <w:rFonts w:cs="Arial"/>
                <w:sz w:val="16"/>
                <w:szCs w:val="16"/>
              </w:rPr>
              <w:t xml:space="preserve"> </w:t>
            </w:r>
            <w:r w:rsidRPr="00D4515B">
              <w:rPr>
                <w:rFonts w:cs="Arial"/>
                <w:sz w:val="16"/>
                <w:szCs w:val="16"/>
              </w:rPr>
              <w:t>(</w:t>
            </w:r>
            <w:r w:rsidR="004E663A">
              <w:rPr>
                <w:rFonts w:cs="Arial"/>
                <w:sz w:val="16"/>
                <w:szCs w:val="16"/>
              </w:rPr>
              <w:t>por ejemplo,</w:t>
            </w:r>
            <w:r w:rsidRPr="00570553">
              <w:rPr>
                <w:rFonts w:cs="Arial"/>
                <w:sz w:val="16"/>
                <w:szCs w:val="16"/>
              </w:rPr>
              <w:t xml:space="preserve"> escuelas multigrado, </w:t>
            </w:r>
            <w:r w:rsidR="004E663A">
              <w:rPr>
                <w:rFonts w:cs="Arial"/>
                <w:sz w:val="16"/>
                <w:szCs w:val="16"/>
              </w:rPr>
              <w:t>preparación</w:t>
            </w:r>
            <w:r w:rsidRPr="00570553">
              <w:rPr>
                <w:rFonts w:cs="Arial"/>
                <w:sz w:val="16"/>
                <w:szCs w:val="16"/>
              </w:rPr>
              <w:t xml:space="preserve"> de los docentes,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 xml:space="preserve">problemas de rezago o </w:t>
            </w:r>
            <w:proofErr w:type="spellStart"/>
            <w:r w:rsidRPr="00570553">
              <w:rPr>
                <w:rFonts w:cs="Arial"/>
                <w:sz w:val="16"/>
                <w:szCs w:val="16"/>
              </w:rPr>
              <w:t>extraedad</w:t>
            </w:r>
            <w:proofErr w:type="spellEnd"/>
            <w:r w:rsidRPr="00570553">
              <w:rPr>
                <w:rFonts w:cs="Arial"/>
                <w:sz w:val="16"/>
                <w:szCs w:val="16"/>
              </w:rPr>
              <w:t xml:space="preserve"> de los estudiantes, distribución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>geográfica de las escuelas, entre otros), así como de los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>propios recursos humanos y materiales de las supervisiones (</w:t>
            </w:r>
            <w:r w:rsidR="004E663A">
              <w:rPr>
                <w:rFonts w:cs="Arial"/>
                <w:sz w:val="16"/>
                <w:szCs w:val="16"/>
              </w:rPr>
              <w:t>por ejemplo,</w:t>
            </w:r>
            <w:r w:rsidRPr="00570553">
              <w:rPr>
                <w:rFonts w:cs="Arial"/>
                <w:sz w:val="16"/>
                <w:szCs w:val="16"/>
              </w:rPr>
              <w:t xml:space="preserve"> docentes para </w:t>
            </w:r>
            <w:r w:rsidR="00D02B24">
              <w:rPr>
                <w:rFonts w:cs="Arial"/>
                <w:sz w:val="16"/>
                <w:szCs w:val="16"/>
              </w:rPr>
              <w:t>el</w:t>
            </w:r>
            <w:r w:rsidRPr="00570553">
              <w:rPr>
                <w:rFonts w:cs="Arial"/>
                <w:sz w:val="16"/>
                <w:szCs w:val="16"/>
              </w:rPr>
              <w:t xml:space="preserve"> apoyo </w:t>
            </w:r>
            <w:r w:rsidR="005C0D57" w:rsidRPr="00570553">
              <w:rPr>
                <w:rFonts w:cs="Arial"/>
                <w:sz w:val="16"/>
                <w:szCs w:val="16"/>
              </w:rPr>
              <w:t>técnico</w:t>
            </w:r>
            <w:r w:rsidR="005C0D57">
              <w:rPr>
                <w:rFonts w:cs="Arial"/>
                <w:sz w:val="16"/>
                <w:szCs w:val="16"/>
              </w:rPr>
              <w:t>-</w:t>
            </w:r>
            <w:r w:rsidRPr="00570553">
              <w:rPr>
                <w:rFonts w:cs="Arial"/>
                <w:sz w:val="16"/>
                <w:szCs w:val="16"/>
              </w:rPr>
              <w:t>pedagógico, materiales y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>equipo). Todos estos elementos demandarán formas diferentes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>de organización y estrategias acordes con las situaciones que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 xml:space="preserve">cada supervisor tendrá que enfrentar en su </w:t>
            </w:r>
            <w:r w:rsidR="005C0D57">
              <w:rPr>
                <w:rFonts w:cs="Arial"/>
                <w:sz w:val="16"/>
                <w:szCs w:val="16"/>
              </w:rPr>
              <w:t xml:space="preserve">supervisión </w:t>
            </w:r>
            <w:r w:rsidRPr="00570553">
              <w:rPr>
                <w:rFonts w:cs="Arial"/>
                <w:sz w:val="16"/>
                <w:szCs w:val="16"/>
              </w:rPr>
              <w:t>escolar</w:t>
            </w:r>
            <w:r w:rsidR="00B73CA6">
              <w:rPr>
                <w:rFonts w:cs="Arial"/>
                <w:sz w:val="16"/>
                <w:szCs w:val="16"/>
              </w:rPr>
              <w:t>.</w:t>
            </w:r>
          </w:p>
        </w:tc>
      </w:tr>
      <w:tr w:rsidR="001E41A7" w:rsidRPr="0026312F" w14:paraId="0ECAC0BC" w14:textId="77777777">
        <w:trPr>
          <w:trHeight w:val="395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2EBC8" w14:textId="77777777" w:rsidR="001E41A7" w:rsidRPr="00D804F7" w:rsidRDefault="007764D7" w:rsidP="00A9105D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Utilidad</w:t>
            </w:r>
          </w:p>
          <w:p w14:paraId="098B0361" w14:textId="54B8B850" w:rsidR="00045E26" w:rsidRDefault="00570553" w:rsidP="00B464F6">
            <w:pPr>
              <w:pStyle w:val="Encabezado"/>
              <w:tabs>
                <w:tab w:val="left" w:pos="4500"/>
                <w:tab w:val="left" w:pos="4680"/>
              </w:tabs>
              <w:ind w:right="108"/>
              <w:jc w:val="both"/>
              <w:rPr>
                <w:rFonts w:cs="Arial"/>
                <w:sz w:val="16"/>
                <w:szCs w:val="16"/>
              </w:rPr>
            </w:pPr>
            <w:r w:rsidRPr="00570553">
              <w:rPr>
                <w:rFonts w:cs="Arial"/>
                <w:sz w:val="16"/>
                <w:szCs w:val="16"/>
              </w:rPr>
              <w:t xml:space="preserve">El indicador </w:t>
            </w:r>
            <w:r w:rsidRPr="009969B3">
              <w:rPr>
                <w:rFonts w:cs="Arial"/>
                <w:sz w:val="16"/>
                <w:szCs w:val="16"/>
              </w:rPr>
              <w:t>permite</w:t>
            </w:r>
            <w:r w:rsidRPr="00570553">
              <w:rPr>
                <w:rFonts w:cs="Arial"/>
                <w:sz w:val="16"/>
                <w:szCs w:val="16"/>
              </w:rPr>
              <w:t xml:space="preserve"> identificar por entidad federativa la cantidad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 xml:space="preserve">de </w:t>
            </w:r>
            <w:r w:rsidR="00272F8E">
              <w:rPr>
                <w:rFonts w:cs="Arial"/>
                <w:sz w:val="16"/>
                <w:szCs w:val="16"/>
              </w:rPr>
              <w:t xml:space="preserve">supervisiones </w:t>
            </w:r>
            <w:r w:rsidRPr="00570553">
              <w:rPr>
                <w:rFonts w:cs="Arial"/>
                <w:sz w:val="16"/>
                <w:szCs w:val="16"/>
              </w:rPr>
              <w:t>escolares en donde los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>supervisores escolares pueden estar enfrentando sobrecargas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>de trabajo. Esta información sirve para que las autoridades estatales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 xml:space="preserve">precisen y diseñen acciones que </w:t>
            </w:r>
            <w:r w:rsidR="00B464F6">
              <w:rPr>
                <w:rFonts w:cs="Arial"/>
                <w:sz w:val="16"/>
                <w:szCs w:val="16"/>
              </w:rPr>
              <w:t>posibiliten</w:t>
            </w:r>
            <w:r w:rsidR="00B464F6" w:rsidRPr="00570553"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>una operación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 xml:space="preserve">adecuada y, acaso, una mejor distribución de escuelas por </w:t>
            </w:r>
            <w:r w:rsidR="00272F8E">
              <w:rPr>
                <w:rFonts w:cs="Arial"/>
                <w:sz w:val="16"/>
                <w:szCs w:val="16"/>
              </w:rPr>
              <w:t>supervisión</w:t>
            </w:r>
            <w:r w:rsidRPr="00570553">
              <w:rPr>
                <w:rFonts w:cs="Arial"/>
                <w:sz w:val="16"/>
                <w:szCs w:val="16"/>
              </w:rPr>
              <w:t>.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>Esto no es un asunto menor si se recuerda que las funciones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>de los supervisores incluyen realizar visitas a cada una de las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>escuelas; recopilar y organizar las estadísticas educativas de su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EC4A8B">
              <w:rPr>
                <w:rFonts w:cs="Arial"/>
                <w:sz w:val="16"/>
                <w:szCs w:val="16"/>
              </w:rPr>
              <w:t>supervisión</w:t>
            </w:r>
            <w:r w:rsidRPr="00570553">
              <w:rPr>
                <w:rFonts w:cs="Arial"/>
                <w:sz w:val="16"/>
                <w:szCs w:val="16"/>
              </w:rPr>
              <w:t>; transmitir información; identificar las necesidades de actualización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>de los docentes y organizar cursos de capacitación;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>promover concursos, programas y campañas de diversa índole;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>trabajar con los directores sobre su proyecto escolar; coadyuvar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 xml:space="preserve">en la conformación de los consejos técnicos de escuela y de </w:t>
            </w:r>
            <w:r w:rsidR="00EC4A8B">
              <w:rPr>
                <w:rFonts w:cs="Arial"/>
                <w:sz w:val="16"/>
                <w:szCs w:val="16"/>
              </w:rPr>
              <w:t>supervisión</w:t>
            </w:r>
            <w:r w:rsidRPr="00570553">
              <w:rPr>
                <w:rFonts w:cs="Arial"/>
                <w:sz w:val="16"/>
                <w:szCs w:val="16"/>
              </w:rPr>
              <w:t>; impulsar la participación de los padres de familia y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70553">
              <w:rPr>
                <w:rFonts w:cs="Arial"/>
                <w:sz w:val="16"/>
                <w:szCs w:val="16"/>
              </w:rPr>
              <w:t xml:space="preserve">solucionar conflictos, entre </w:t>
            </w:r>
            <w:r w:rsidRPr="004D2579">
              <w:rPr>
                <w:rFonts w:cs="Arial"/>
                <w:sz w:val="16"/>
                <w:szCs w:val="16"/>
              </w:rPr>
              <w:t xml:space="preserve">otras actividades. </w:t>
            </w:r>
            <w:r w:rsidR="00045E26" w:rsidRPr="004D2579">
              <w:rPr>
                <w:rFonts w:cs="Arial"/>
                <w:sz w:val="16"/>
                <w:szCs w:val="16"/>
              </w:rPr>
              <w:t xml:space="preserve">Además, </w:t>
            </w:r>
            <w:r w:rsidR="001E6FF6">
              <w:rPr>
                <w:rFonts w:cs="Arial"/>
                <w:sz w:val="16"/>
                <w:szCs w:val="16"/>
              </w:rPr>
              <w:t xml:space="preserve">en el ciclo escolar de referencia (2017-2018), su trabajo incluía también lo señalado </w:t>
            </w:r>
            <w:r w:rsidR="00045E26" w:rsidRPr="004D2579">
              <w:rPr>
                <w:rFonts w:cs="Arial"/>
                <w:sz w:val="16"/>
                <w:szCs w:val="16"/>
              </w:rPr>
              <w:t>en el artículo 18 de la Ley General del Servicio Profesional Docente</w:t>
            </w:r>
            <w:r w:rsidR="001E6FF6">
              <w:rPr>
                <w:rFonts w:cs="Arial"/>
                <w:sz w:val="16"/>
                <w:szCs w:val="16"/>
              </w:rPr>
              <w:t>, donde</w:t>
            </w:r>
            <w:r w:rsidR="00045E26" w:rsidRPr="004D2579">
              <w:rPr>
                <w:rFonts w:cs="Arial"/>
                <w:sz w:val="16"/>
                <w:szCs w:val="16"/>
              </w:rPr>
              <w:t xml:space="preserve"> se </w:t>
            </w:r>
            <w:r w:rsidR="00EC4A8B" w:rsidRPr="004D2579">
              <w:rPr>
                <w:rFonts w:cs="Arial"/>
                <w:sz w:val="16"/>
                <w:szCs w:val="16"/>
              </w:rPr>
              <w:t>agreg</w:t>
            </w:r>
            <w:r w:rsidR="00EC4A8B">
              <w:rPr>
                <w:rFonts w:cs="Arial"/>
                <w:sz w:val="16"/>
                <w:szCs w:val="16"/>
              </w:rPr>
              <w:t>ó</w:t>
            </w:r>
            <w:r w:rsidR="00EC4A8B" w:rsidRPr="004D2579">
              <w:rPr>
                <w:rFonts w:cs="Arial"/>
                <w:sz w:val="16"/>
                <w:szCs w:val="16"/>
              </w:rPr>
              <w:t xml:space="preserve"> </w:t>
            </w:r>
            <w:r w:rsidR="00045E26" w:rsidRPr="004D2579">
              <w:rPr>
                <w:rFonts w:cs="Arial"/>
                <w:sz w:val="16"/>
                <w:szCs w:val="16"/>
              </w:rPr>
              <w:t>que el Servicio de Asistencia Técnica a la Escuela</w:t>
            </w:r>
            <w:r w:rsidR="004D2579" w:rsidRPr="004D2579">
              <w:rPr>
                <w:rFonts w:cs="Arial"/>
                <w:sz w:val="16"/>
                <w:szCs w:val="16"/>
              </w:rPr>
              <w:t xml:space="preserve"> (</w:t>
            </w:r>
            <w:r w:rsidR="004D2579" w:rsidRPr="0085664E">
              <w:rPr>
                <w:rFonts w:cs="Arial"/>
                <w:sz w:val="16"/>
                <w:szCs w:val="16"/>
              </w:rPr>
              <w:t>SATE)</w:t>
            </w:r>
            <w:r w:rsidR="00045E26" w:rsidRPr="0085664E">
              <w:rPr>
                <w:rFonts w:cs="Arial"/>
                <w:sz w:val="16"/>
                <w:szCs w:val="16"/>
              </w:rPr>
              <w:t xml:space="preserve"> </w:t>
            </w:r>
            <w:r w:rsidR="00EC4A8B" w:rsidRPr="0085664E">
              <w:rPr>
                <w:rFonts w:cs="Arial"/>
                <w:sz w:val="16"/>
                <w:szCs w:val="16"/>
              </w:rPr>
              <w:t xml:space="preserve">podría </w:t>
            </w:r>
            <w:r w:rsidR="00045E26" w:rsidRPr="0085664E">
              <w:rPr>
                <w:rFonts w:cs="Arial"/>
                <w:sz w:val="16"/>
                <w:szCs w:val="16"/>
              </w:rPr>
              <w:t>ser brindado por personal con funciones de supervisión si así lo definieran l</w:t>
            </w:r>
            <w:bookmarkStart w:id="1" w:name="_GoBack"/>
            <w:bookmarkEnd w:id="1"/>
            <w:r w:rsidR="00045E26" w:rsidRPr="0085664E">
              <w:rPr>
                <w:rFonts w:cs="Arial"/>
                <w:sz w:val="16"/>
                <w:szCs w:val="16"/>
              </w:rPr>
              <w:t xml:space="preserve">as autoridades educativas (LGSPD, </w:t>
            </w:r>
            <w:r w:rsidR="00EC4A8B" w:rsidRPr="0085664E">
              <w:rPr>
                <w:rFonts w:cs="Arial"/>
                <w:sz w:val="16"/>
                <w:szCs w:val="16"/>
              </w:rPr>
              <w:t xml:space="preserve">2013, </w:t>
            </w:r>
            <w:r w:rsidR="00045E26" w:rsidRPr="0085664E">
              <w:rPr>
                <w:rFonts w:cs="Arial"/>
                <w:sz w:val="16"/>
                <w:szCs w:val="16"/>
              </w:rPr>
              <w:t>septiembre 11).</w:t>
            </w:r>
          </w:p>
          <w:p w14:paraId="463C3504" w14:textId="24486D04" w:rsidR="00045E26" w:rsidRPr="000B3849" w:rsidRDefault="00045E26" w:rsidP="00B464F6">
            <w:pPr>
              <w:pStyle w:val="Encabezado"/>
              <w:tabs>
                <w:tab w:val="left" w:pos="4500"/>
                <w:tab w:val="left" w:pos="4680"/>
              </w:tabs>
              <w:ind w:right="108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E96AA8" w:rsidRPr="0026312F" w14:paraId="3E4A5ABA" w14:textId="77777777">
        <w:trPr>
          <w:trHeight w:val="352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09D74" w14:textId="77777777" w:rsidR="00E96AA8" w:rsidRDefault="00E96AA8" w:rsidP="00206401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FD19CE">
              <w:rPr>
                <w:rFonts w:cs="Arial"/>
                <w:b/>
                <w:sz w:val="16"/>
                <w:szCs w:val="16"/>
              </w:rPr>
              <w:t>Ofrece elementos para evaluar las siguientes d</w:t>
            </w:r>
            <w:r w:rsidR="007764D7">
              <w:rPr>
                <w:rFonts w:cs="Arial"/>
                <w:b/>
                <w:sz w:val="16"/>
                <w:szCs w:val="16"/>
              </w:rPr>
              <w:t xml:space="preserve">imensiones de </w:t>
            </w:r>
            <w:r w:rsidR="00912062">
              <w:rPr>
                <w:rFonts w:cs="Arial"/>
                <w:b/>
                <w:sz w:val="16"/>
                <w:szCs w:val="16"/>
              </w:rPr>
              <w:t xml:space="preserve">la </w:t>
            </w:r>
            <w:r w:rsidR="007764D7">
              <w:rPr>
                <w:rFonts w:cs="Arial"/>
                <w:b/>
                <w:sz w:val="16"/>
                <w:szCs w:val="16"/>
              </w:rPr>
              <w:t>calidad educativa</w:t>
            </w:r>
          </w:p>
          <w:p w14:paraId="16B5249D" w14:textId="1B37BA2C" w:rsidR="00E96AA8" w:rsidRPr="00602223" w:rsidRDefault="00B70C9A" w:rsidP="00206401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Efic</w:t>
            </w:r>
            <w:r w:rsidR="007764D7">
              <w:rPr>
                <w:rFonts w:cs="Arial"/>
                <w:sz w:val="16"/>
                <w:szCs w:val="16"/>
              </w:rPr>
              <w:t>acia y e</w:t>
            </w:r>
            <w:r w:rsidR="004E26A0">
              <w:rPr>
                <w:rFonts w:cs="Arial"/>
                <w:sz w:val="16"/>
                <w:szCs w:val="16"/>
              </w:rPr>
              <w:t>quidad</w:t>
            </w:r>
          </w:p>
        </w:tc>
      </w:tr>
      <w:tr w:rsidR="001E41A7" w:rsidRPr="003D030A" w14:paraId="5BE3A902" w14:textId="77777777" w:rsidTr="00F25924">
        <w:trPr>
          <w:trHeight w:val="558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542E" w14:textId="77777777" w:rsidR="001E41A7" w:rsidRPr="00272F8E" w:rsidRDefault="007764D7" w:rsidP="00206401">
            <w:pPr>
              <w:rPr>
                <w:rFonts w:cs="Arial"/>
                <w:b/>
                <w:sz w:val="16"/>
                <w:szCs w:val="16"/>
              </w:rPr>
            </w:pPr>
            <w:r w:rsidRPr="00272F8E">
              <w:rPr>
                <w:rFonts w:cs="Arial"/>
                <w:b/>
                <w:sz w:val="16"/>
                <w:szCs w:val="16"/>
              </w:rPr>
              <w:t>Desagregación</w:t>
            </w:r>
          </w:p>
          <w:p w14:paraId="25D0D7A5" w14:textId="38A764D7" w:rsidR="00272F8E" w:rsidRPr="00272F8E" w:rsidRDefault="00200757" w:rsidP="00FC3C2F">
            <w:pPr>
              <w:ind w:right="-70"/>
              <w:jc w:val="both"/>
              <w:rPr>
                <w:rFonts w:cs="Arial"/>
                <w:bCs/>
                <w:sz w:val="16"/>
                <w:szCs w:val="16"/>
              </w:rPr>
            </w:pPr>
            <w:r w:rsidRPr="00272F8E">
              <w:rPr>
                <w:rFonts w:cs="Arial"/>
                <w:sz w:val="16"/>
                <w:szCs w:val="16"/>
              </w:rPr>
              <w:t>Este indicador se presenta en la</w:t>
            </w:r>
            <w:r w:rsidR="00F25924" w:rsidRPr="00272F8E">
              <w:rPr>
                <w:rFonts w:cs="Arial"/>
                <w:sz w:val="16"/>
                <w:szCs w:val="16"/>
              </w:rPr>
              <w:t>s</w:t>
            </w:r>
            <w:r w:rsidRPr="00272F8E">
              <w:rPr>
                <w:rFonts w:cs="Arial"/>
                <w:sz w:val="16"/>
                <w:szCs w:val="16"/>
              </w:rPr>
              <w:t xml:space="preserve"> </w:t>
            </w:r>
            <w:r w:rsidR="005C420D" w:rsidRPr="00272F8E">
              <w:rPr>
                <w:rFonts w:cs="Arial"/>
                <w:sz w:val="16"/>
                <w:szCs w:val="16"/>
              </w:rPr>
              <w:t>siguiente</w:t>
            </w:r>
            <w:r w:rsidR="00F25924" w:rsidRPr="00272F8E">
              <w:rPr>
                <w:rFonts w:cs="Arial"/>
                <w:sz w:val="16"/>
                <w:szCs w:val="16"/>
              </w:rPr>
              <w:t>s</w:t>
            </w:r>
            <w:r w:rsidR="005C420D" w:rsidRPr="00272F8E">
              <w:rPr>
                <w:rFonts w:cs="Arial"/>
                <w:sz w:val="16"/>
                <w:szCs w:val="16"/>
              </w:rPr>
              <w:t xml:space="preserve"> </w:t>
            </w:r>
            <w:r w:rsidRPr="00272F8E">
              <w:rPr>
                <w:rFonts w:cs="Arial"/>
                <w:sz w:val="16"/>
                <w:szCs w:val="16"/>
              </w:rPr>
              <w:t>desagrega</w:t>
            </w:r>
            <w:r w:rsidR="00F25924" w:rsidRPr="00272F8E">
              <w:rPr>
                <w:rFonts w:cs="Arial"/>
                <w:sz w:val="16"/>
                <w:szCs w:val="16"/>
              </w:rPr>
              <w:t>ciones</w:t>
            </w:r>
            <w:r w:rsidRPr="00272F8E">
              <w:rPr>
                <w:rFonts w:cs="Arial"/>
                <w:sz w:val="16"/>
                <w:szCs w:val="16"/>
              </w:rPr>
              <w:t>:</w:t>
            </w:r>
            <w:r w:rsidR="00A64CA9" w:rsidRPr="00272F8E">
              <w:rPr>
                <w:rFonts w:cs="Arial"/>
                <w:sz w:val="16"/>
                <w:szCs w:val="16"/>
              </w:rPr>
              <w:t xml:space="preserve"> nivel educativo, tipo de servicio y</w:t>
            </w:r>
            <w:r w:rsidRPr="00272F8E">
              <w:rPr>
                <w:rFonts w:cs="Arial"/>
                <w:sz w:val="16"/>
                <w:szCs w:val="16"/>
              </w:rPr>
              <w:t xml:space="preserve"> e</w:t>
            </w:r>
            <w:r w:rsidR="00A64CA9" w:rsidRPr="00272F8E">
              <w:rPr>
                <w:rFonts w:cs="Arial"/>
                <w:bCs/>
                <w:sz w:val="16"/>
                <w:szCs w:val="16"/>
              </w:rPr>
              <w:t>ntidad federativa</w:t>
            </w:r>
            <w:r w:rsidR="00E509F4" w:rsidRPr="00272F8E">
              <w:rPr>
                <w:rFonts w:cs="Arial"/>
                <w:bCs/>
                <w:sz w:val="16"/>
                <w:szCs w:val="16"/>
              </w:rPr>
              <w:t>.</w:t>
            </w:r>
            <w:r w:rsidR="00283CC2" w:rsidRPr="00272F8E">
              <w:rPr>
                <w:rFonts w:cs="Arial"/>
                <w:bCs/>
                <w:sz w:val="16"/>
                <w:szCs w:val="16"/>
              </w:rPr>
              <w:t xml:space="preserve"> </w:t>
            </w:r>
          </w:p>
          <w:p w14:paraId="0E872D37" w14:textId="10ED5E6C" w:rsidR="00FC3C2F" w:rsidRPr="00272F8E" w:rsidRDefault="002C422B" w:rsidP="00272F8E">
            <w:pPr>
              <w:pStyle w:val="Prrafodelista"/>
              <w:numPr>
                <w:ilvl w:val="0"/>
                <w:numId w:val="6"/>
              </w:numPr>
              <w:ind w:left="170" w:hanging="170"/>
              <w:rPr>
                <w:rFonts w:cs="Arial"/>
                <w:sz w:val="16"/>
                <w:szCs w:val="16"/>
              </w:rPr>
            </w:pPr>
            <w:r w:rsidRPr="00272F8E">
              <w:rPr>
                <w:rFonts w:cs="Arial"/>
                <w:b/>
                <w:sz w:val="16"/>
                <w:szCs w:val="16"/>
              </w:rPr>
              <w:t>M</w:t>
            </w:r>
            <w:r w:rsidR="00283CC2" w:rsidRPr="00272F8E">
              <w:rPr>
                <w:rFonts w:cs="Arial"/>
                <w:b/>
                <w:sz w:val="16"/>
                <w:szCs w:val="16"/>
              </w:rPr>
              <w:t>áximo nivel de desagregación</w:t>
            </w:r>
            <w:r w:rsidR="00272F8E" w:rsidRPr="00272F8E">
              <w:rPr>
                <w:rFonts w:cs="Arial"/>
                <w:sz w:val="16"/>
                <w:szCs w:val="16"/>
              </w:rPr>
              <w:t>:</w:t>
            </w:r>
            <w:r w:rsidR="00272F8E" w:rsidRPr="00272F8E">
              <w:rPr>
                <w:rFonts w:cs="Arial"/>
                <w:b/>
                <w:sz w:val="16"/>
                <w:szCs w:val="16"/>
              </w:rPr>
              <w:t xml:space="preserve"> </w:t>
            </w:r>
            <w:r w:rsidR="00272F8E" w:rsidRPr="00272F8E">
              <w:rPr>
                <w:rFonts w:cs="Arial"/>
                <w:sz w:val="16"/>
                <w:szCs w:val="16"/>
              </w:rPr>
              <w:t>s</w:t>
            </w:r>
            <w:r w:rsidR="0052299A" w:rsidRPr="00272F8E">
              <w:rPr>
                <w:rFonts w:cs="Arial"/>
                <w:sz w:val="16"/>
                <w:szCs w:val="16"/>
              </w:rPr>
              <w:t xml:space="preserve">upervisión </w:t>
            </w:r>
            <w:r w:rsidR="00283CC2" w:rsidRPr="00272F8E">
              <w:rPr>
                <w:rFonts w:cs="Arial"/>
                <w:sz w:val="16"/>
                <w:szCs w:val="16"/>
              </w:rPr>
              <w:t>escolar</w:t>
            </w:r>
          </w:p>
          <w:p w14:paraId="72DE3DDE" w14:textId="77777777" w:rsidR="00841B51" w:rsidRPr="00272F8E" w:rsidRDefault="00841B51" w:rsidP="00FC3C2F">
            <w:pPr>
              <w:ind w:right="-70"/>
              <w:jc w:val="both"/>
              <w:rPr>
                <w:rFonts w:cs="Arial"/>
                <w:bCs/>
                <w:sz w:val="16"/>
                <w:szCs w:val="16"/>
              </w:rPr>
            </w:pPr>
          </w:p>
          <w:p w14:paraId="52F851E7" w14:textId="77777777" w:rsidR="001E41A7" w:rsidRPr="000360EB" w:rsidRDefault="001E41A7" w:rsidP="00FC3C2F">
            <w:pPr>
              <w:ind w:right="-70"/>
              <w:jc w:val="both"/>
              <w:rPr>
                <w:rFonts w:cs="Arial"/>
                <w:b/>
                <w:sz w:val="16"/>
                <w:szCs w:val="16"/>
              </w:rPr>
            </w:pPr>
            <w:r w:rsidRPr="000360EB">
              <w:rPr>
                <w:rFonts w:cs="Arial"/>
                <w:b/>
                <w:sz w:val="16"/>
                <w:szCs w:val="16"/>
              </w:rPr>
              <w:t>Fuente</w:t>
            </w:r>
            <w:r w:rsidR="00240822" w:rsidRPr="000360EB">
              <w:rPr>
                <w:rFonts w:cs="Arial"/>
                <w:b/>
                <w:sz w:val="16"/>
                <w:szCs w:val="16"/>
              </w:rPr>
              <w:t xml:space="preserve"> de información</w:t>
            </w:r>
          </w:p>
          <w:p w14:paraId="1B6AE642" w14:textId="7569DE33" w:rsidR="001E41A7" w:rsidRPr="003A72CA" w:rsidRDefault="002606AC" w:rsidP="007D27BD">
            <w:pPr>
              <w:pStyle w:val="Encabezado"/>
              <w:tabs>
                <w:tab w:val="left" w:pos="4500"/>
                <w:tab w:val="left" w:pos="4680"/>
              </w:tabs>
              <w:ind w:right="108"/>
              <w:jc w:val="both"/>
              <w:rPr>
                <w:rFonts w:cs="Arial"/>
                <w:sz w:val="16"/>
                <w:szCs w:val="16"/>
              </w:rPr>
            </w:pPr>
            <w:r w:rsidRPr="009B313D">
              <w:rPr>
                <w:rFonts w:cs="Arial"/>
                <w:sz w:val="16"/>
                <w:szCs w:val="16"/>
              </w:rPr>
              <w:t>SEP</w:t>
            </w:r>
            <w:r w:rsidR="004C58F3" w:rsidRPr="003A72CA">
              <w:rPr>
                <w:rFonts w:cs="Arial"/>
                <w:sz w:val="16"/>
                <w:szCs w:val="16"/>
              </w:rPr>
              <w:t>-</w:t>
            </w:r>
            <w:proofErr w:type="spellStart"/>
            <w:r w:rsidR="004C58F3" w:rsidRPr="003A72CA">
              <w:rPr>
                <w:rFonts w:cs="Arial"/>
                <w:sz w:val="16"/>
                <w:szCs w:val="16"/>
              </w:rPr>
              <w:t>DGP</w:t>
            </w:r>
            <w:r w:rsidR="00161C59" w:rsidRPr="003A72CA">
              <w:rPr>
                <w:rFonts w:cs="Arial"/>
                <w:sz w:val="16"/>
                <w:szCs w:val="16"/>
              </w:rPr>
              <w:t>Py</w:t>
            </w:r>
            <w:r w:rsidR="007E77C7" w:rsidRPr="003A72CA">
              <w:rPr>
                <w:rFonts w:cs="Arial"/>
                <w:sz w:val="16"/>
                <w:szCs w:val="16"/>
              </w:rPr>
              <w:t>EE</w:t>
            </w:r>
            <w:proofErr w:type="spellEnd"/>
            <w:r w:rsidR="001B2D11" w:rsidRPr="003A72CA">
              <w:rPr>
                <w:rFonts w:cs="Arial"/>
                <w:sz w:val="16"/>
                <w:szCs w:val="16"/>
              </w:rPr>
              <w:t xml:space="preserve"> (201</w:t>
            </w:r>
            <w:r w:rsidR="00F25924" w:rsidRPr="003A72CA">
              <w:rPr>
                <w:rFonts w:cs="Arial"/>
                <w:sz w:val="16"/>
                <w:szCs w:val="16"/>
              </w:rPr>
              <w:t>8</w:t>
            </w:r>
            <w:r w:rsidRPr="003A72CA">
              <w:rPr>
                <w:rFonts w:cs="Arial"/>
                <w:sz w:val="16"/>
                <w:szCs w:val="16"/>
              </w:rPr>
              <w:t xml:space="preserve">). </w:t>
            </w:r>
            <w:r w:rsidR="00A64CA9" w:rsidRPr="003A72CA">
              <w:rPr>
                <w:rFonts w:cs="Arial"/>
                <w:sz w:val="16"/>
                <w:szCs w:val="16"/>
              </w:rPr>
              <w:t>Módulo de Supervisión Escolar</w:t>
            </w:r>
            <w:r w:rsidR="005F4BF3" w:rsidRPr="003A72CA">
              <w:rPr>
                <w:rFonts w:cs="Arial"/>
                <w:sz w:val="16"/>
                <w:szCs w:val="16"/>
              </w:rPr>
              <w:t>.</w:t>
            </w:r>
          </w:p>
          <w:p w14:paraId="1907771D" w14:textId="4E7149B5" w:rsidR="00366ABF" w:rsidRDefault="00366ABF" w:rsidP="007D27BD">
            <w:pPr>
              <w:pStyle w:val="Encabezado"/>
              <w:tabs>
                <w:tab w:val="left" w:pos="4500"/>
                <w:tab w:val="left" w:pos="4680"/>
              </w:tabs>
              <w:ind w:right="108"/>
              <w:jc w:val="both"/>
              <w:rPr>
                <w:rFonts w:cs="Arial"/>
                <w:sz w:val="16"/>
                <w:szCs w:val="16"/>
              </w:rPr>
            </w:pPr>
          </w:p>
          <w:p w14:paraId="6B258B1B" w14:textId="03444B61" w:rsidR="00366ABF" w:rsidRPr="004E663A" w:rsidRDefault="004E663A" w:rsidP="007D27BD">
            <w:pPr>
              <w:pStyle w:val="Encabezado"/>
              <w:tabs>
                <w:tab w:val="left" w:pos="4500"/>
                <w:tab w:val="left" w:pos="4680"/>
              </w:tabs>
              <w:ind w:right="108"/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Nota</w:t>
            </w:r>
          </w:p>
          <w:p w14:paraId="6F10358F" w14:textId="7D86AAD3" w:rsidR="005F4BF3" w:rsidRPr="003D030A" w:rsidRDefault="00366ABF" w:rsidP="00F25924">
            <w:pPr>
              <w:pStyle w:val="Encabezado"/>
              <w:tabs>
                <w:tab w:val="left" w:pos="4500"/>
                <w:tab w:val="left" w:pos="4680"/>
              </w:tabs>
              <w:ind w:right="108"/>
              <w:jc w:val="both"/>
              <w:rPr>
                <w:rFonts w:cs="Arial"/>
                <w:sz w:val="12"/>
                <w:szCs w:val="12"/>
              </w:rPr>
            </w:pPr>
            <w:r w:rsidRPr="004E663A">
              <w:rPr>
                <w:rFonts w:cs="Arial"/>
                <w:sz w:val="16"/>
                <w:szCs w:val="16"/>
                <w:vertAlign w:val="superscript"/>
              </w:rPr>
              <w:t>1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cs="Arial"/>
                <w:sz w:val="16"/>
                <w:szCs w:val="16"/>
              </w:rPr>
              <w:t>Este</w:t>
            </w:r>
            <w:proofErr w:type="gramEnd"/>
            <w:r>
              <w:rPr>
                <w:rFonts w:cs="Arial"/>
                <w:sz w:val="16"/>
                <w:szCs w:val="16"/>
              </w:rPr>
              <w:t xml:space="preserve"> indicador anteriormente </w:t>
            </w:r>
            <w:r w:rsidR="003A72CA">
              <w:rPr>
                <w:rFonts w:cs="Arial"/>
                <w:sz w:val="16"/>
                <w:szCs w:val="16"/>
              </w:rPr>
              <w:t xml:space="preserve">se </w:t>
            </w:r>
            <w:r>
              <w:rPr>
                <w:rFonts w:cs="Arial"/>
                <w:sz w:val="16"/>
                <w:szCs w:val="16"/>
              </w:rPr>
              <w:t>llam</w:t>
            </w:r>
            <w:r w:rsidR="003A72CA">
              <w:rPr>
                <w:rFonts w:cs="Arial"/>
                <w:sz w:val="16"/>
                <w:szCs w:val="16"/>
              </w:rPr>
              <w:t>ó</w:t>
            </w:r>
            <w:r>
              <w:rPr>
                <w:rFonts w:cs="Arial"/>
                <w:sz w:val="16"/>
                <w:szCs w:val="16"/>
              </w:rPr>
              <w:t xml:space="preserve"> Porcentaje de zonas escolares de educación básica integradas por más de 20 escuelas</w:t>
            </w:r>
            <w:r w:rsidR="003A72CA">
              <w:rPr>
                <w:rFonts w:cs="Arial"/>
                <w:sz w:val="16"/>
                <w:szCs w:val="16"/>
              </w:rPr>
              <w:t>. A</w:t>
            </w:r>
            <w:r>
              <w:rPr>
                <w:rFonts w:cs="Arial"/>
                <w:sz w:val="16"/>
                <w:szCs w:val="16"/>
              </w:rPr>
              <w:t xml:space="preserve"> solicitud de </w:t>
            </w:r>
            <w:r w:rsidR="00440AA1">
              <w:rPr>
                <w:rFonts w:cs="Arial"/>
                <w:sz w:val="16"/>
                <w:szCs w:val="16"/>
              </w:rPr>
              <w:t xml:space="preserve">la </w:t>
            </w:r>
            <w:proofErr w:type="spellStart"/>
            <w:r w:rsidR="00440AA1" w:rsidRPr="00DA3C33">
              <w:rPr>
                <w:rFonts w:cs="Arial"/>
                <w:smallCaps/>
                <w:sz w:val="16"/>
                <w:szCs w:val="16"/>
              </w:rPr>
              <w:t>DGPPyEE</w:t>
            </w:r>
            <w:proofErr w:type="spellEnd"/>
            <w:r w:rsidR="00440AA1">
              <w:rPr>
                <w:rFonts w:cs="Arial"/>
                <w:sz w:val="16"/>
                <w:szCs w:val="16"/>
              </w:rPr>
              <w:t xml:space="preserve"> de la SEP</w:t>
            </w:r>
            <w:r w:rsidR="003A72CA">
              <w:rPr>
                <w:rFonts w:cs="Arial"/>
                <w:sz w:val="16"/>
                <w:szCs w:val="16"/>
              </w:rPr>
              <w:t>,</w:t>
            </w:r>
            <w:r w:rsidR="00440AA1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el término </w:t>
            </w:r>
            <w:r w:rsidRPr="00DA3C33">
              <w:rPr>
                <w:rFonts w:cs="Arial"/>
                <w:i/>
                <w:sz w:val="16"/>
                <w:szCs w:val="16"/>
              </w:rPr>
              <w:t>zona escolar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3A72CA">
              <w:rPr>
                <w:rFonts w:cs="Arial"/>
                <w:sz w:val="16"/>
                <w:szCs w:val="16"/>
              </w:rPr>
              <w:t xml:space="preserve">se cambió </w:t>
            </w:r>
            <w:r>
              <w:rPr>
                <w:rFonts w:cs="Arial"/>
                <w:sz w:val="16"/>
                <w:szCs w:val="16"/>
              </w:rPr>
              <w:t xml:space="preserve">por el de </w:t>
            </w:r>
            <w:r w:rsidRPr="00DA3C33">
              <w:rPr>
                <w:rFonts w:cs="Arial"/>
                <w:i/>
                <w:sz w:val="16"/>
                <w:szCs w:val="16"/>
              </w:rPr>
              <w:t>supervisión escolar</w:t>
            </w:r>
            <w:r>
              <w:rPr>
                <w:rFonts w:cs="Arial"/>
                <w:sz w:val="16"/>
                <w:szCs w:val="16"/>
              </w:rPr>
              <w:t>. En algunas entidades federativas, niveles o tipos de servicio también puede utilizarse como sinóni</w:t>
            </w:r>
            <w:r w:rsidR="00F25924">
              <w:rPr>
                <w:rFonts w:cs="Arial"/>
                <w:sz w:val="16"/>
                <w:szCs w:val="16"/>
              </w:rPr>
              <w:t xml:space="preserve">mo </w:t>
            </w:r>
            <w:r w:rsidR="004E663A" w:rsidRPr="00DA3C33">
              <w:rPr>
                <w:rFonts w:cs="Arial"/>
                <w:i/>
                <w:sz w:val="16"/>
                <w:szCs w:val="16"/>
              </w:rPr>
              <w:t>inspección</w:t>
            </w:r>
            <w:r w:rsidRPr="00DA3C33">
              <w:rPr>
                <w:rFonts w:cs="Arial"/>
                <w:i/>
                <w:sz w:val="16"/>
                <w:szCs w:val="16"/>
              </w:rPr>
              <w:t xml:space="preserve"> escolar</w:t>
            </w:r>
            <w:r>
              <w:rPr>
                <w:rFonts w:cs="Arial"/>
                <w:sz w:val="16"/>
                <w:szCs w:val="16"/>
              </w:rPr>
              <w:t xml:space="preserve">. </w:t>
            </w:r>
          </w:p>
        </w:tc>
      </w:tr>
    </w:tbl>
    <w:p w14:paraId="47D78785" w14:textId="77777777" w:rsidR="002B5F65" w:rsidRDefault="002B5F65"/>
    <w:p w14:paraId="0DAC44E6" w14:textId="77777777" w:rsidR="00A64CA9" w:rsidRDefault="00A64CA9"/>
    <w:p w14:paraId="21D970E2" w14:textId="77777777" w:rsidR="008E3CFB" w:rsidRDefault="00570553">
      <w:r w:rsidRPr="003D030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78968D" wp14:editId="5BC5F2D9">
                <wp:simplePos x="0" y="0"/>
                <wp:positionH relativeFrom="column">
                  <wp:posOffset>-136473</wp:posOffset>
                </wp:positionH>
                <wp:positionV relativeFrom="paragraph">
                  <wp:posOffset>50521</wp:posOffset>
                </wp:positionV>
                <wp:extent cx="3547872" cy="2560320"/>
                <wp:effectExtent l="0" t="0" r="14605" b="1143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7872" cy="2560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2F7E6E6" w14:textId="32546CEB" w:rsidR="00043900" w:rsidRPr="003A72CA" w:rsidRDefault="00043900" w:rsidP="00A97CB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3A72CA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Información de referencia</w:t>
                            </w:r>
                          </w:p>
                          <w:p w14:paraId="0F54B5F6" w14:textId="47AD35EA" w:rsidR="00043900" w:rsidRPr="003A72CA" w:rsidRDefault="00043900" w:rsidP="00A1400C">
                            <w:pPr>
                              <w:pStyle w:val="Defaul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3A72CA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Porcentaje de supervisiones escolares integradas por más de 20 escuelas (2018)</w:t>
                            </w:r>
                          </w:p>
                          <w:p w14:paraId="25081D31" w14:textId="77777777" w:rsidR="00043900" w:rsidRPr="003A72CA" w:rsidRDefault="00043900" w:rsidP="00A97CBE">
                            <w:pPr>
                              <w:pStyle w:val="Default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W w:w="376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020"/>
                              <w:gridCol w:w="920"/>
                              <w:gridCol w:w="923"/>
                            </w:tblGrid>
                            <w:tr w:rsidR="00043900" w:rsidRPr="003A72CA" w14:paraId="1D338BC0" w14:textId="77777777" w:rsidTr="00DA3C33">
                              <w:trPr>
                                <w:trHeight w:val="225"/>
                              </w:trPr>
                              <w:tc>
                                <w:tcPr>
                                  <w:tcW w:w="2020" w:type="dxa"/>
                                  <w:shd w:val="clear" w:color="auto" w:fill="336699"/>
                                  <w:noWrap/>
                                  <w:vAlign w:val="bottom"/>
                                  <w:hideMark/>
                                </w:tcPr>
                                <w:p w14:paraId="50E3D752" w14:textId="352635B3" w:rsidR="00043900" w:rsidRPr="00DA3C33" w:rsidRDefault="00043900" w:rsidP="00DA3C33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  <w:lang w:val="es-MX" w:eastAsia="es-MX"/>
                                    </w:rPr>
                                  </w:pPr>
                                  <w:r w:rsidRPr="00DA3C33"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  <w:lang w:val="es-MX" w:eastAsia="es-MX"/>
                                    </w:rPr>
                                    <w:t>Nivel educativo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  <w:shd w:val="clear" w:color="auto" w:fill="336699"/>
                                  <w:noWrap/>
                                  <w:vAlign w:val="bottom"/>
                                  <w:hideMark/>
                                </w:tcPr>
                                <w:p w14:paraId="4FC8522F" w14:textId="15E6ECF8" w:rsidR="00043900" w:rsidRPr="00DA3C33" w:rsidRDefault="00043900" w:rsidP="003A72CA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  <w:lang w:val="es-MX" w:eastAsia="es-MX"/>
                                    </w:rPr>
                                  </w:pPr>
                                  <w:r w:rsidRPr="00DA3C33"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  <w:lang w:val="es-MX" w:eastAsia="es-MX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shd w:val="clear" w:color="auto" w:fill="336699"/>
                                  <w:noWrap/>
                                  <w:vAlign w:val="bottom"/>
                                  <w:hideMark/>
                                </w:tcPr>
                                <w:p w14:paraId="5305B668" w14:textId="62798BBD" w:rsidR="00043900" w:rsidRPr="00DA3C33" w:rsidRDefault="00043900" w:rsidP="00DA3C33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  <w:lang w:val="es-MX" w:eastAsia="es-MX"/>
                                    </w:rPr>
                                  </w:pPr>
                                  <w:r w:rsidRPr="00DA3C33"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  <w:lang w:val="es-MX" w:eastAsia="es-MX"/>
                                    </w:rPr>
                                    <w:t>Absolutos</w:t>
                                  </w:r>
                                </w:p>
                              </w:tc>
                            </w:tr>
                            <w:tr w:rsidR="00043900" w:rsidRPr="003A72CA" w14:paraId="27124DA2" w14:textId="77777777" w:rsidTr="00A1400C">
                              <w:trPr>
                                <w:trHeight w:val="225"/>
                              </w:trPr>
                              <w:tc>
                                <w:tcPr>
                                  <w:tcW w:w="202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0C13C4D" w14:textId="30C05687" w:rsidR="00043900" w:rsidRPr="003A72CA" w:rsidRDefault="00043900" w:rsidP="00A1400C">
                                  <w:pP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</w:pPr>
                                  <w:r w:rsidRPr="003A72CA"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  <w:t>Preescolar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03321CD" w14:textId="018B3E1B" w:rsidR="00043900" w:rsidRPr="003A72CA" w:rsidRDefault="00043900" w:rsidP="00A1400C">
                                  <w:pPr>
                                    <w:jc w:val="center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</w:pPr>
                                  <w:r w:rsidRPr="003A72CA"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  <w:t>13.3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4A4886B" w14:textId="24E8B88E" w:rsidR="00043900" w:rsidRPr="003A72CA" w:rsidRDefault="00043900" w:rsidP="00A1400C">
                                  <w:pPr>
                                    <w:jc w:val="right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</w:pPr>
                                  <w:r w:rsidRPr="003A72CA"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  <w:t>571</w:t>
                                  </w:r>
                                </w:p>
                              </w:tc>
                            </w:tr>
                            <w:tr w:rsidR="00043900" w:rsidRPr="003A72CA" w14:paraId="3B90DE27" w14:textId="77777777" w:rsidTr="00657C59">
                              <w:trPr>
                                <w:trHeight w:val="225"/>
                              </w:trPr>
                              <w:tc>
                                <w:tcPr>
                                  <w:tcW w:w="202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9A90F11" w14:textId="5E5E0065" w:rsidR="00043900" w:rsidRPr="003A72CA" w:rsidRDefault="00043900" w:rsidP="00A1400C">
                                  <w:pP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</w:pPr>
                                  <w:r w:rsidRPr="003A72CA"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  <w:t>Primaria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5B3B49B" w14:textId="51A2158D" w:rsidR="00043900" w:rsidRPr="003A72CA" w:rsidRDefault="00043900" w:rsidP="00A1400C">
                                  <w:pPr>
                                    <w:jc w:val="center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</w:pPr>
                                  <w:r w:rsidRPr="003A72CA"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  <w:t>5.4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A243EFA" w14:textId="719705F2" w:rsidR="00043900" w:rsidRPr="003A72CA" w:rsidRDefault="00043900" w:rsidP="00A1400C">
                                  <w:pPr>
                                    <w:jc w:val="right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</w:pPr>
                                  <w:r w:rsidRPr="003A72CA"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  <w:t>355</w:t>
                                  </w:r>
                                </w:p>
                              </w:tc>
                            </w:tr>
                            <w:tr w:rsidR="00043900" w:rsidRPr="003A72CA" w14:paraId="07BC736C" w14:textId="77777777" w:rsidTr="00657C59">
                              <w:trPr>
                                <w:trHeight w:val="225"/>
                              </w:trPr>
                              <w:tc>
                                <w:tcPr>
                                  <w:tcW w:w="202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D99B446" w14:textId="0E94E1CE" w:rsidR="00043900" w:rsidRPr="003A72CA" w:rsidRDefault="00043900" w:rsidP="00A1400C">
                                  <w:pP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</w:pPr>
                                  <w:r w:rsidRPr="003A72CA"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  <w:t>Secundaria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CA58DC9" w14:textId="1949BEA3" w:rsidR="00043900" w:rsidRPr="003A72CA" w:rsidRDefault="00043900" w:rsidP="00A1400C">
                                  <w:pPr>
                                    <w:jc w:val="center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</w:pPr>
                                  <w:r w:rsidRPr="003A72CA"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  <w:t>8.5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63D463D" w14:textId="59F50A89" w:rsidR="00043900" w:rsidRPr="003A72CA" w:rsidRDefault="00043900" w:rsidP="00A1400C">
                                  <w:pPr>
                                    <w:jc w:val="right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</w:pPr>
                                  <w:r w:rsidRPr="003A72CA"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  <w:t>247</w:t>
                                  </w:r>
                                </w:p>
                              </w:tc>
                            </w:tr>
                            <w:tr w:rsidR="00043900" w:rsidRPr="003A72CA" w14:paraId="0F646B0A" w14:textId="77777777" w:rsidTr="00657C59">
                              <w:trPr>
                                <w:trHeight w:val="225"/>
                              </w:trPr>
                              <w:tc>
                                <w:tcPr>
                                  <w:tcW w:w="202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9A9439E" w14:textId="2D7FAFA4" w:rsidR="00043900" w:rsidRPr="003A72CA" w:rsidRDefault="00043900" w:rsidP="00A1400C">
                                  <w:pPr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</w:pPr>
                                  <w:r w:rsidRPr="003A72CA"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  <w:t>Multinivel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D93E01D" w14:textId="63CFAB6B" w:rsidR="00043900" w:rsidRPr="003A72CA" w:rsidRDefault="00043900" w:rsidP="00A1400C">
                                  <w:pPr>
                                    <w:jc w:val="center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</w:pPr>
                                  <w:r w:rsidRPr="003A72CA"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  <w:t>32.8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D09789A" w14:textId="304D95AD" w:rsidR="00043900" w:rsidRPr="003A72CA" w:rsidRDefault="00043900" w:rsidP="00A1400C">
                                  <w:pPr>
                                    <w:jc w:val="right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</w:pPr>
                                  <w:r w:rsidRPr="003A72CA"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lang w:val="es-MX" w:eastAsia="es-MX"/>
                                    </w:rPr>
                                    <w:t>226</w:t>
                                  </w:r>
                                </w:p>
                              </w:tc>
                            </w:tr>
                          </w:tbl>
                          <w:p w14:paraId="723089A6" w14:textId="0F9A97ED" w:rsidR="00043900" w:rsidRPr="003A72CA" w:rsidRDefault="00043900" w:rsidP="00E96CA4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 w:rsidRPr="003A72CA">
                              <w:rPr>
                                <w:rFonts w:cs="Arial"/>
                                <w:sz w:val="12"/>
                                <w:szCs w:val="12"/>
                              </w:rPr>
                              <w:t>Fuente</w:t>
                            </w:r>
                            <w:r w:rsidR="003A72CA">
                              <w:rPr>
                                <w:rFonts w:cs="Arial"/>
                                <w:sz w:val="12"/>
                                <w:szCs w:val="12"/>
                              </w:rPr>
                              <w:t>s</w:t>
                            </w:r>
                            <w:r w:rsidRPr="003A72CA">
                              <w:rPr>
                                <w:rFonts w:cs="Arial"/>
                                <w:sz w:val="12"/>
                                <w:szCs w:val="12"/>
                              </w:rPr>
                              <w:t>: INEE, cálculos con base en el Módulo de Supervisión Escolar (2018) y en las Estadísticas Continuas del Formato 911 (ciclo escolar 2017-2018), ambas de la SEP-</w:t>
                            </w:r>
                            <w:proofErr w:type="spellStart"/>
                            <w:r w:rsidRPr="00DA3C33">
                              <w:rPr>
                                <w:rFonts w:cs="Arial"/>
                                <w:smallCaps/>
                                <w:sz w:val="12"/>
                                <w:szCs w:val="12"/>
                              </w:rPr>
                              <w:t>DGPPyEE</w:t>
                            </w:r>
                            <w:proofErr w:type="spellEnd"/>
                            <w:r w:rsidRPr="003A72CA">
                              <w:rPr>
                                <w:rFonts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78968D" id="AutoShape 3" o:spid="_x0000_s1027" style="position:absolute;margin-left:-10.75pt;margin-top:4pt;width:279.35pt;height:20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">
                <v:textbox>
                  <w:txbxContent>
                    <w:p w14:paraId="22F7E6E6" w14:textId="32546CEB" w:rsidR="00043900" w:rsidRPr="003A72CA" w:rsidRDefault="00043900" w:rsidP="00A97CBE">
                      <w:pPr>
                        <w:spacing w:before="120" w:after="60"/>
                        <w:ind w:right="108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 w:rsidRPr="003A72CA">
                        <w:rPr>
                          <w:rFonts w:cs="Arial"/>
                          <w:b/>
                          <w:sz w:val="16"/>
                          <w:szCs w:val="16"/>
                        </w:rPr>
                        <w:t>Información de referencia</w:t>
                      </w:r>
                    </w:p>
                    <w:p w14:paraId="0F54B5F6" w14:textId="47AD35EA" w:rsidR="00043900" w:rsidRPr="003A72CA" w:rsidRDefault="00043900" w:rsidP="00A1400C">
                      <w:pPr>
                        <w:pStyle w:val="Default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3A72CA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Porcentaje de supervisiones escolares integradas por más de 20 escuelas (2018)</w:t>
                      </w:r>
                    </w:p>
                    <w:p w14:paraId="25081D31" w14:textId="77777777" w:rsidR="00043900" w:rsidRPr="003A72CA" w:rsidRDefault="00043900" w:rsidP="00A97CBE">
                      <w:pPr>
                        <w:pStyle w:val="Default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tbl>
                      <w:tblPr>
                        <w:tblW w:w="376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020"/>
                        <w:gridCol w:w="920"/>
                        <w:gridCol w:w="923"/>
                      </w:tblGrid>
                      <w:tr w:rsidR="00043900" w:rsidRPr="003A72CA" w14:paraId="1D338BC0" w14:textId="77777777" w:rsidTr="00DA3C33">
                        <w:trPr>
                          <w:trHeight w:val="225"/>
                        </w:trPr>
                        <w:tc>
                          <w:tcPr>
                            <w:tcW w:w="2020" w:type="dxa"/>
                            <w:shd w:val="clear" w:color="auto" w:fill="336699"/>
                            <w:noWrap/>
                            <w:vAlign w:val="bottom"/>
                            <w:hideMark/>
                          </w:tcPr>
                          <w:p w14:paraId="50E3D752" w14:textId="352635B3" w:rsidR="00043900" w:rsidRPr="00DA3C33" w:rsidRDefault="00043900" w:rsidP="00DA3C33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 w:eastAsia="es-MX"/>
                              </w:rPr>
                            </w:pPr>
                            <w:r w:rsidRPr="00DA3C33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 w:eastAsia="es-MX"/>
                              </w:rPr>
                              <w:t>Nivel educativo</w:t>
                            </w:r>
                          </w:p>
                        </w:tc>
                        <w:tc>
                          <w:tcPr>
                            <w:tcW w:w="920" w:type="dxa"/>
                            <w:shd w:val="clear" w:color="auto" w:fill="336699"/>
                            <w:noWrap/>
                            <w:vAlign w:val="bottom"/>
                            <w:hideMark/>
                          </w:tcPr>
                          <w:p w14:paraId="4FC8522F" w14:textId="15E6ECF8" w:rsidR="00043900" w:rsidRPr="00DA3C33" w:rsidRDefault="00043900" w:rsidP="003A72CA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 w:eastAsia="es-MX"/>
                              </w:rPr>
                            </w:pPr>
                            <w:r w:rsidRPr="00DA3C33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 w:eastAsia="es-MX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820" w:type="dxa"/>
                            <w:shd w:val="clear" w:color="auto" w:fill="336699"/>
                            <w:noWrap/>
                            <w:vAlign w:val="bottom"/>
                            <w:hideMark/>
                          </w:tcPr>
                          <w:p w14:paraId="5305B668" w14:textId="62798BBD" w:rsidR="00043900" w:rsidRPr="00DA3C33" w:rsidRDefault="00043900" w:rsidP="00DA3C33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 w:eastAsia="es-MX"/>
                              </w:rPr>
                            </w:pPr>
                            <w:r w:rsidRPr="00DA3C33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 w:eastAsia="es-MX"/>
                              </w:rPr>
                              <w:t>Absolutos</w:t>
                            </w:r>
                          </w:p>
                        </w:tc>
                      </w:tr>
                      <w:tr w:rsidR="00043900" w:rsidRPr="003A72CA" w14:paraId="27124DA2" w14:textId="77777777" w:rsidTr="00A1400C">
                        <w:trPr>
                          <w:trHeight w:val="225"/>
                        </w:trPr>
                        <w:tc>
                          <w:tcPr>
                            <w:tcW w:w="2020" w:type="dxa"/>
                            <w:shd w:val="clear" w:color="auto" w:fill="auto"/>
                            <w:noWrap/>
                            <w:vAlign w:val="bottom"/>
                          </w:tcPr>
                          <w:p w14:paraId="20C13C4D" w14:textId="30C05687" w:rsidR="00043900" w:rsidRPr="003A72CA" w:rsidRDefault="00043900" w:rsidP="00A1400C">
                            <w:pPr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</w:pPr>
                            <w:r w:rsidRPr="003A72CA"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  <w:t>Preescolar</w:t>
                            </w:r>
                          </w:p>
                        </w:tc>
                        <w:tc>
                          <w:tcPr>
                            <w:tcW w:w="920" w:type="dxa"/>
                            <w:shd w:val="clear" w:color="auto" w:fill="auto"/>
                            <w:noWrap/>
                            <w:vAlign w:val="bottom"/>
                          </w:tcPr>
                          <w:p w14:paraId="303321CD" w14:textId="018B3E1B" w:rsidR="00043900" w:rsidRPr="003A72CA" w:rsidRDefault="00043900" w:rsidP="00A1400C">
                            <w:pPr>
                              <w:jc w:val="center"/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</w:pPr>
                            <w:r w:rsidRPr="003A72CA"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  <w:t>13.3</w:t>
                            </w:r>
                          </w:p>
                        </w:tc>
                        <w:tc>
                          <w:tcPr>
                            <w:tcW w:w="820" w:type="dxa"/>
                            <w:shd w:val="clear" w:color="auto" w:fill="auto"/>
                            <w:noWrap/>
                            <w:vAlign w:val="bottom"/>
                          </w:tcPr>
                          <w:p w14:paraId="34A4886B" w14:textId="24E8B88E" w:rsidR="00043900" w:rsidRPr="003A72CA" w:rsidRDefault="00043900" w:rsidP="00A1400C">
                            <w:pPr>
                              <w:jc w:val="right"/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</w:pPr>
                            <w:r w:rsidRPr="003A72CA"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  <w:t>571</w:t>
                            </w:r>
                          </w:p>
                        </w:tc>
                      </w:tr>
                      <w:tr w:rsidR="00043900" w:rsidRPr="003A72CA" w14:paraId="3B90DE27" w14:textId="77777777" w:rsidTr="00657C59">
                        <w:trPr>
                          <w:trHeight w:val="225"/>
                        </w:trPr>
                        <w:tc>
                          <w:tcPr>
                            <w:tcW w:w="202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9A90F11" w14:textId="5E5E0065" w:rsidR="00043900" w:rsidRPr="003A72CA" w:rsidRDefault="00043900" w:rsidP="00A1400C">
                            <w:pPr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</w:pPr>
                            <w:r w:rsidRPr="003A72CA"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  <w:t>Primaria</w:t>
                            </w:r>
                          </w:p>
                        </w:tc>
                        <w:tc>
                          <w:tcPr>
                            <w:tcW w:w="920" w:type="dxa"/>
                            <w:shd w:val="clear" w:color="auto" w:fill="auto"/>
                            <w:noWrap/>
                            <w:vAlign w:val="bottom"/>
                          </w:tcPr>
                          <w:p w14:paraId="05B3B49B" w14:textId="51A2158D" w:rsidR="00043900" w:rsidRPr="003A72CA" w:rsidRDefault="00043900" w:rsidP="00A1400C">
                            <w:pPr>
                              <w:jc w:val="center"/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</w:pPr>
                            <w:r w:rsidRPr="003A72CA"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  <w:t>5.4</w:t>
                            </w:r>
                          </w:p>
                        </w:tc>
                        <w:tc>
                          <w:tcPr>
                            <w:tcW w:w="820" w:type="dxa"/>
                            <w:shd w:val="clear" w:color="auto" w:fill="auto"/>
                            <w:noWrap/>
                            <w:vAlign w:val="bottom"/>
                          </w:tcPr>
                          <w:p w14:paraId="5A243EFA" w14:textId="719705F2" w:rsidR="00043900" w:rsidRPr="003A72CA" w:rsidRDefault="00043900" w:rsidP="00A1400C">
                            <w:pPr>
                              <w:jc w:val="right"/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</w:pPr>
                            <w:r w:rsidRPr="003A72CA"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  <w:t>355</w:t>
                            </w:r>
                          </w:p>
                        </w:tc>
                      </w:tr>
                      <w:tr w:rsidR="00043900" w:rsidRPr="003A72CA" w14:paraId="07BC736C" w14:textId="77777777" w:rsidTr="00657C59">
                        <w:trPr>
                          <w:trHeight w:val="225"/>
                        </w:trPr>
                        <w:tc>
                          <w:tcPr>
                            <w:tcW w:w="202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D99B446" w14:textId="0E94E1CE" w:rsidR="00043900" w:rsidRPr="003A72CA" w:rsidRDefault="00043900" w:rsidP="00A1400C">
                            <w:pPr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</w:pPr>
                            <w:r w:rsidRPr="003A72CA"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  <w:t>Secundaria</w:t>
                            </w:r>
                          </w:p>
                        </w:tc>
                        <w:tc>
                          <w:tcPr>
                            <w:tcW w:w="920" w:type="dxa"/>
                            <w:shd w:val="clear" w:color="auto" w:fill="auto"/>
                            <w:noWrap/>
                            <w:vAlign w:val="bottom"/>
                          </w:tcPr>
                          <w:p w14:paraId="5CA58DC9" w14:textId="1949BEA3" w:rsidR="00043900" w:rsidRPr="003A72CA" w:rsidRDefault="00043900" w:rsidP="00A1400C">
                            <w:pPr>
                              <w:jc w:val="center"/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</w:pPr>
                            <w:r w:rsidRPr="003A72CA"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  <w:t>8.5</w:t>
                            </w:r>
                          </w:p>
                        </w:tc>
                        <w:tc>
                          <w:tcPr>
                            <w:tcW w:w="820" w:type="dxa"/>
                            <w:shd w:val="clear" w:color="auto" w:fill="auto"/>
                            <w:noWrap/>
                            <w:vAlign w:val="bottom"/>
                          </w:tcPr>
                          <w:p w14:paraId="563D463D" w14:textId="59F50A89" w:rsidR="00043900" w:rsidRPr="003A72CA" w:rsidRDefault="00043900" w:rsidP="00A1400C">
                            <w:pPr>
                              <w:jc w:val="right"/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</w:pPr>
                            <w:r w:rsidRPr="003A72CA"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  <w:t>247</w:t>
                            </w:r>
                          </w:p>
                        </w:tc>
                      </w:tr>
                      <w:tr w:rsidR="00043900" w:rsidRPr="003A72CA" w14:paraId="0F646B0A" w14:textId="77777777" w:rsidTr="00657C59">
                        <w:trPr>
                          <w:trHeight w:val="225"/>
                        </w:trPr>
                        <w:tc>
                          <w:tcPr>
                            <w:tcW w:w="202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9A9439E" w14:textId="2D7FAFA4" w:rsidR="00043900" w:rsidRPr="003A72CA" w:rsidRDefault="00043900" w:rsidP="00A1400C">
                            <w:pPr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</w:pPr>
                            <w:r w:rsidRPr="003A72CA"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  <w:t>Multinivel</w:t>
                            </w:r>
                          </w:p>
                        </w:tc>
                        <w:tc>
                          <w:tcPr>
                            <w:tcW w:w="920" w:type="dxa"/>
                            <w:shd w:val="clear" w:color="auto" w:fill="auto"/>
                            <w:noWrap/>
                            <w:vAlign w:val="bottom"/>
                          </w:tcPr>
                          <w:p w14:paraId="2D93E01D" w14:textId="63CFAB6B" w:rsidR="00043900" w:rsidRPr="003A72CA" w:rsidRDefault="00043900" w:rsidP="00A1400C">
                            <w:pPr>
                              <w:jc w:val="center"/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</w:pPr>
                            <w:r w:rsidRPr="003A72CA"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  <w:t>32.8</w:t>
                            </w:r>
                          </w:p>
                        </w:tc>
                        <w:tc>
                          <w:tcPr>
                            <w:tcW w:w="820" w:type="dxa"/>
                            <w:shd w:val="clear" w:color="auto" w:fill="auto"/>
                            <w:noWrap/>
                            <w:vAlign w:val="bottom"/>
                          </w:tcPr>
                          <w:p w14:paraId="1D09789A" w14:textId="304D95AD" w:rsidR="00043900" w:rsidRPr="003A72CA" w:rsidRDefault="00043900" w:rsidP="00A1400C">
                            <w:pPr>
                              <w:jc w:val="right"/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</w:pPr>
                            <w:r w:rsidRPr="003A72CA">
                              <w:rPr>
                                <w:rFonts w:cs="Arial"/>
                                <w:bCs/>
                                <w:sz w:val="16"/>
                                <w:szCs w:val="16"/>
                                <w:lang w:val="es-MX" w:eastAsia="es-MX"/>
                              </w:rPr>
                              <w:t>226</w:t>
                            </w:r>
                          </w:p>
                        </w:tc>
                      </w:tr>
                    </w:tbl>
                    <w:p w14:paraId="723089A6" w14:textId="0F9A97ED" w:rsidR="00043900" w:rsidRPr="003A72CA" w:rsidRDefault="00043900" w:rsidP="00E96CA4">
                      <w:pPr>
                        <w:spacing w:before="120" w:after="60"/>
                        <w:ind w:right="108"/>
                        <w:rPr>
                          <w:rFonts w:cs="Arial"/>
                          <w:sz w:val="12"/>
                          <w:szCs w:val="12"/>
                        </w:rPr>
                      </w:pPr>
                      <w:r w:rsidRPr="003A72CA">
                        <w:rPr>
                          <w:rFonts w:cs="Arial"/>
                          <w:sz w:val="12"/>
                          <w:szCs w:val="12"/>
                        </w:rPr>
                        <w:t>Fuente</w:t>
                      </w:r>
                      <w:r w:rsidR="003A72CA">
                        <w:rPr>
                          <w:rFonts w:cs="Arial"/>
                          <w:sz w:val="12"/>
                          <w:szCs w:val="12"/>
                        </w:rPr>
                        <w:t>s</w:t>
                      </w:r>
                      <w:r w:rsidRPr="003A72CA">
                        <w:rPr>
                          <w:rFonts w:cs="Arial"/>
                          <w:sz w:val="12"/>
                          <w:szCs w:val="12"/>
                        </w:rPr>
                        <w:t>: INEE, cálculos con base en el Módulo de Supervisión Escolar (2018) y en las Estadísticas Continuas del Formato 911 (ciclo escolar 2017-2018), ambas de la SEP-</w:t>
                      </w:r>
                      <w:proofErr w:type="spellStart"/>
                      <w:r w:rsidRPr="00DA3C33">
                        <w:rPr>
                          <w:rFonts w:cs="Arial"/>
                          <w:smallCaps/>
                          <w:sz w:val="12"/>
                          <w:szCs w:val="12"/>
                        </w:rPr>
                        <w:t>DGPPyEE</w:t>
                      </w:r>
                      <w:proofErr w:type="spellEnd"/>
                      <w:r w:rsidRPr="003A72CA">
                        <w:rPr>
                          <w:rFonts w:cs="Arial"/>
                          <w:sz w:val="12"/>
                          <w:szCs w:val="12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DCC45ED" w14:textId="77777777" w:rsidR="008E3CFB" w:rsidRDefault="008E3CFB"/>
    <w:p w14:paraId="10A354F1" w14:textId="77777777" w:rsidR="008E3CFB" w:rsidRDefault="008E3CFB"/>
    <w:p w14:paraId="64FE4BBC" w14:textId="77777777" w:rsidR="008E3CFB" w:rsidRDefault="008E3CFB"/>
    <w:p w14:paraId="0AAC4F41" w14:textId="77777777" w:rsidR="008E3CFB" w:rsidRDefault="008E3CFB"/>
    <w:p w14:paraId="0F692FEE" w14:textId="77777777" w:rsidR="008E3CFB" w:rsidRDefault="008E3CFB"/>
    <w:p w14:paraId="51608398" w14:textId="77777777" w:rsidR="008E3CFB" w:rsidRDefault="008E3CFB"/>
    <w:sectPr w:rsidR="008E3CFB" w:rsidSect="002B5F65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zidenz Grotesk BE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C7FA9"/>
    <w:multiLevelType w:val="hybridMultilevel"/>
    <w:tmpl w:val="BACC9BD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340CE"/>
    <w:multiLevelType w:val="hybridMultilevel"/>
    <w:tmpl w:val="1E2CD3F8"/>
    <w:lvl w:ilvl="0" w:tplc="FB2698CA">
      <w:start w:val="18"/>
      <w:numFmt w:val="bullet"/>
      <w:lvlText w:val=""/>
      <w:lvlJc w:val="left"/>
      <w:pPr>
        <w:tabs>
          <w:tab w:val="num" w:pos="541"/>
        </w:tabs>
        <w:ind w:left="541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61"/>
        </w:tabs>
        <w:ind w:left="12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81"/>
        </w:tabs>
        <w:ind w:left="19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701"/>
        </w:tabs>
        <w:ind w:left="27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21"/>
        </w:tabs>
        <w:ind w:left="34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41"/>
        </w:tabs>
        <w:ind w:left="41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61"/>
        </w:tabs>
        <w:ind w:left="48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81"/>
        </w:tabs>
        <w:ind w:left="55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301"/>
        </w:tabs>
        <w:ind w:left="6301" w:hanging="360"/>
      </w:pPr>
      <w:rPr>
        <w:rFonts w:ascii="Wingdings" w:hAnsi="Wingdings" w:hint="default"/>
      </w:rPr>
    </w:lvl>
  </w:abstractNum>
  <w:abstractNum w:abstractNumId="2" w15:restartNumberingAfterBreak="0">
    <w:nsid w:val="1CD670A5"/>
    <w:multiLevelType w:val="hybridMultilevel"/>
    <w:tmpl w:val="21CC0486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420BA6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92C29"/>
    <w:multiLevelType w:val="hybridMultilevel"/>
    <w:tmpl w:val="AA5E8C8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520E3E"/>
    <w:multiLevelType w:val="hybridMultilevel"/>
    <w:tmpl w:val="07443AAC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4AF5224"/>
    <w:multiLevelType w:val="hybridMultilevel"/>
    <w:tmpl w:val="CD20DCD6"/>
    <w:lvl w:ilvl="0" w:tplc="6102E8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activeWritingStyle w:appName="MSWord" w:lang="es-ES" w:vendorID="64" w:dllVersion="6" w:nlCheck="1" w:checkStyle="0"/>
  <w:activeWritingStyle w:appName="MSWord" w:lang="es-MX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31E9"/>
    <w:rsid w:val="00000D7F"/>
    <w:rsid w:val="0000480D"/>
    <w:rsid w:val="000057C3"/>
    <w:rsid w:val="00011481"/>
    <w:rsid w:val="000178F6"/>
    <w:rsid w:val="00026151"/>
    <w:rsid w:val="000360EB"/>
    <w:rsid w:val="00036C2B"/>
    <w:rsid w:val="000421A1"/>
    <w:rsid w:val="00043900"/>
    <w:rsid w:val="00043BA0"/>
    <w:rsid w:val="00045E26"/>
    <w:rsid w:val="000461C1"/>
    <w:rsid w:val="00057FE4"/>
    <w:rsid w:val="00065230"/>
    <w:rsid w:val="0006671D"/>
    <w:rsid w:val="0007091B"/>
    <w:rsid w:val="00085D13"/>
    <w:rsid w:val="0009530B"/>
    <w:rsid w:val="000A0618"/>
    <w:rsid w:val="000A0D9E"/>
    <w:rsid w:val="000A0F51"/>
    <w:rsid w:val="000B3849"/>
    <w:rsid w:val="000C2092"/>
    <w:rsid w:val="000C78FA"/>
    <w:rsid w:val="000D218C"/>
    <w:rsid w:val="000D248D"/>
    <w:rsid w:val="000D4636"/>
    <w:rsid w:val="000D6CE2"/>
    <w:rsid w:val="000E16A3"/>
    <w:rsid w:val="000E30FE"/>
    <w:rsid w:val="000E40C8"/>
    <w:rsid w:val="000E54DA"/>
    <w:rsid w:val="000E762C"/>
    <w:rsid w:val="000E7DB0"/>
    <w:rsid w:val="000F1174"/>
    <w:rsid w:val="000F6940"/>
    <w:rsid w:val="00100A30"/>
    <w:rsid w:val="0011099F"/>
    <w:rsid w:val="00111560"/>
    <w:rsid w:val="0011293E"/>
    <w:rsid w:val="00112B94"/>
    <w:rsid w:val="00114EBC"/>
    <w:rsid w:val="00117C2E"/>
    <w:rsid w:val="001208BF"/>
    <w:rsid w:val="00125054"/>
    <w:rsid w:val="00125713"/>
    <w:rsid w:val="00127ED2"/>
    <w:rsid w:val="00134B46"/>
    <w:rsid w:val="00154497"/>
    <w:rsid w:val="00161C59"/>
    <w:rsid w:val="00167428"/>
    <w:rsid w:val="001764CA"/>
    <w:rsid w:val="0018194F"/>
    <w:rsid w:val="00183AEC"/>
    <w:rsid w:val="0018414D"/>
    <w:rsid w:val="00190E28"/>
    <w:rsid w:val="0019351A"/>
    <w:rsid w:val="0019753E"/>
    <w:rsid w:val="001A2345"/>
    <w:rsid w:val="001A3C15"/>
    <w:rsid w:val="001A3CDF"/>
    <w:rsid w:val="001A4ACC"/>
    <w:rsid w:val="001A5311"/>
    <w:rsid w:val="001B2D11"/>
    <w:rsid w:val="001B5A7D"/>
    <w:rsid w:val="001B6750"/>
    <w:rsid w:val="001B6E8D"/>
    <w:rsid w:val="001B7142"/>
    <w:rsid w:val="001C31DD"/>
    <w:rsid w:val="001D0BA3"/>
    <w:rsid w:val="001D1F78"/>
    <w:rsid w:val="001D6875"/>
    <w:rsid w:val="001E41A7"/>
    <w:rsid w:val="001E6FF6"/>
    <w:rsid w:val="00200757"/>
    <w:rsid w:val="00204993"/>
    <w:rsid w:val="00206401"/>
    <w:rsid w:val="002101F0"/>
    <w:rsid w:val="0021124C"/>
    <w:rsid w:val="00214FA8"/>
    <w:rsid w:val="00216A5E"/>
    <w:rsid w:val="002179A7"/>
    <w:rsid w:val="00217A5B"/>
    <w:rsid w:val="00224633"/>
    <w:rsid w:val="00230705"/>
    <w:rsid w:val="00232A8D"/>
    <w:rsid w:val="00233251"/>
    <w:rsid w:val="00236C81"/>
    <w:rsid w:val="00236F80"/>
    <w:rsid w:val="00240822"/>
    <w:rsid w:val="00240D80"/>
    <w:rsid w:val="00242743"/>
    <w:rsid w:val="002537A5"/>
    <w:rsid w:val="00257F20"/>
    <w:rsid w:val="002606AC"/>
    <w:rsid w:val="002636D3"/>
    <w:rsid w:val="002637F5"/>
    <w:rsid w:val="00263C9D"/>
    <w:rsid w:val="00263E91"/>
    <w:rsid w:val="002702F0"/>
    <w:rsid w:val="00272F8E"/>
    <w:rsid w:val="00276A36"/>
    <w:rsid w:val="0027720D"/>
    <w:rsid w:val="00283CC2"/>
    <w:rsid w:val="00291A51"/>
    <w:rsid w:val="0029652B"/>
    <w:rsid w:val="00296748"/>
    <w:rsid w:val="002A184E"/>
    <w:rsid w:val="002A696F"/>
    <w:rsid w:val="002B04AB"/>
    <w:rsid w:val="002B5F65"/>
    <w:rsid w:val="002B6CF3"/>
    <w:rsid w:val="002C2D2C"/>
    <w:rsid w:val="002C422B"/>
    <w:rsid w:val="002D0D54"/>
    <w:rsid w:val="002D5BF2"/>
    <w:rsid w:val="002E0870"/>
    <w:rsid w:val="002E4076"/>
    <w:rsid w:val="002E5D56"/>
    <w:rsid w:val="002F0DFD"/>
    <w:rsid w:val="002F520B"/>
    <w:rsid w:val="002F5DF7"/>
    <w:rsid w:val="00301A71"/>
    <w:rsid w:val="00307E52"/>
    <w:rsid w:val="00310E96"/>
    <w:rsid w:val="0032202B"/>
    <w:rsid w:val="00322E6D"/>
    <w:rsid w:val="00325532"/>
    <w:rsid w:val="003309F0"/>
    <w:rsid w:val="00334C75"/>
    <w:rsid w:val="0033666D"/>
    <w:rsid w:val="00342B7B"/>
    <w:rsid w:val="0034513F"/>
    <w:rsid w:val="00366ABF"/>
    <w:rsid w:val="00375BC2"/>
    <w:rsid w:val="00376F64"/>
    <w:rsid w:val="003778E0"/>
    <w:rsid w:val="00387D1E"/>
    <w:rsid w:val="003931C9"/>
    <w:rsid w:val="00395460"/>
    <w:rsid w:val="0039598D"/>
    <w:rsid w:val="003A2008"/>
    <w:rsid w:val="003A72CA"/>
    <w:rsid w:val="003B003C"/>
    <w:rsid w:val="003B366E"/>
    <w:rsid w:val="003B3690"/>
    <w:rsid w:val="003C0C25"/>
    <w:rsid w:val="003C1F5C"/>
    <w:rsid w:val="003C590C"/>
    <w:rsid w:val="003C70C9"/>
    <w:rsid w:val="003C7372"/>
    <w:rsid w:val="003C7DFE"/>
    <w:rsid w:val="003D030A"/>
    <w:rsid w:val="003D40F3"/>
    <w:rsid w:val="003D4FE0"/>
    <w:rsid w:val="003E1F30"/>
    <w:rsid w:val="003E2CE9"/>
    <w:rsid w:val="003F35E4"/>
    <w:rsid w:val="00422A9A"/>
    <w:rsid w:val="0044047C"/>
    <w:rsid w:val="00440AA1"/>
    <w:rsid w:val="00453D11"/>
    <w:rsid w:val="00477BDF"/>
    <w:rsid w:val="00481CDB"/>
    <w:rsid w:val="004900D1"/>
    <w:rsid w:val="00496FCD"/>
    <w:rsid w:val="004B5CEF"/>
    <w:rsid w:val="004B6B8B"/>
    <w:rsid w:val="004C305C"/>
    <w:rsid w:val="004C58F3"/>
    <w:rsid w:val="004D2579"/>
    <w:rsid w:val="004D4E5D"/>
    <w:rsid w:val="004D512A"/>
    <w:rsid w:val="004D586D"/>
    <w:rsid w:val="004E04D0"/>
    <w:rsid w:val="004E1BCB"/>
    <w:rsid w:val="004E26A0"/>
    <w:rsid w:val="004E663A"/>
    <w:rsid w:val="004E7BE9"/>
    <w:rsid w:val="0050031C"/>
    <w:rsid w:val="005054BA"/>
    <w:rsid w:val="0050755E"/>
    <w:rsid w:val="00507A30"/>
    <w:rsid w:val="00514CDA"/>
    <w:rsid w:val="00517965"/>
    <w:rsid w:val="00520890"/>
    <w:rsid w:val="0052299A"/>
    <w:rsid w:val="005276C7"/>
    <w:rsid w:val="005413C8"/>
    <w:rsid w:val="00546903"/>
    <w:rsid w:val="00554777"/>
    <w:rsid w:val="005639F8"/>
    <w:rsid w:val="00570553"/>
    <w:rsid w:val="00583FD9"/>
    <w:rsid w:val="00584538"/>
    <w:rsid w:val="00591C35"/>
    <w:rsid w:val="0059359F"/>
    <w:rsid w:val="005A0D1A"/>
    <w:rsid w:val="005A19DD"/>
    <w:rsid w:val="005A5AF4"/>
    <w:rsid w:val="005A672E"/>
    <w:rsid w:val="005B03D0"/>
    <w:rsid w:val="005B46CE"/>
    <w:rsid w:val="005C0D57"/>
    <w:rsid w:val="005C2CA6"/>
    <w:rsid w:val="005C37A9"/>
    <w:rsid w:val="005C420D"/>
    <w:rsid w:val="005C55C9"/>
    <w:rsid w:val="005D3D71"/>
    <w:rsid w:val="005D6EDB"/>
    <w:rsid w:val="005E1751"/>
    <w:rsid w:val="005E618F"/>
    <w:rsid w:val="005F4BF3"/>
    <w:rsid w:val="005F72B0"/>
    <w:rsid w:val="00602223"/>
    <w:rsid w:val="00603E80"/>
    <w:rsid w:val="00605122"/>
    <w:rsid w:val="00605D27"/>
    <w:rsid w:val="00607B24"/>
    <w:rsid w:val="00611A61"/>
    <w:rsid w:val="00620FCA"/>
    <w:rsid w:val="00625CBE"/>
    <w:rsid w:val="0063170E"/>
    <w:rsid w:val="00633DE0"/>
    <w:rsid w:val="0065722F"/>
    <w:rsid w:val="00657C59"/>
    <w:rsid w:val="0068098A"/>
    <w:rsid w:val="0068301B"/>
    <w:rsid w:val="006879B9"/>
    <w:rsid w:val="00687C21"/>
    <w:rsid w:val="00693506"/>
    <w:rsid w:val="00693C34"/>
    <w:rsid w:val="006A4DBA"/>
    <w:rsid w:val="006B65F0"/>
    <w:rsid w:val="006D6D6B"/>
    <w:rsid w:val="006F440E"/>
    <w:rsid w:val="00700325"/>
    <w:rsid w:val="00700874"/>
    <w:rsid w:val="007115BA"/>
    <w:rsid w:val="00714136"/>
    <w:rsid w:val="00731D0A"/>
    <w:rsid w:val="00743B8C"/>
    <w:rsid w:val="007452A0"/>
    <w:rsid w:val="0075696A"/>
    <w:rsid w:val="00760EB6"/>
    <w:rsid w:val="0076152F"/>
    <w:rsid w:val="00766FE2"/>
    <w:rsid w:val="00772180"/>
    <w:rsid w:val="007756EC"/>
    <w:rsid w:val="007764D7"/>
    <w:rsid w:val="007822AF"/>
    <w:rsid w:val="00796455"/>
    <w:rsid w:val="007A2468"/>
    <w:rsid w:val="007A313E"/>
    <w:rsid w:val="007A4D90"/>
    <w:rsid w:val="007B14FF"/>
    <w:rsid w:val="007B1D02"/>
    <w:rsid w:val="007D0403"/>
    <w:rsid w:val="007D2266"/>
    <w:rsid w:val="007D27BD"/>
    <w:rsid w:val="007D7854"/>
    <w:rsid w:val="007E77C7"/>
    <w:rsid w:val="007F2092"/>
    <w:rsid w:val="007F2C3E"/>
    <w:rsid w:val="007F3935"/>
    <w:rsid w:val="00804792"/>
    <w:rsid w:val="00806C74"/>
    <w:rsid w:val="0080700A"/>
    <w:rsid w:val="00812781"/>
    <w:rsid w:val="008259AE"/>
    <w:rsid w:val="008410FA"/>
    <w:rsid w:val="00841B51"/>
    <w:rsid w:val="0084571F"/>
    <w:rsid w:val="008461ED"/>
    <w:rsid w:val="0084752A"/>
    <w:rsid w:val="00851706"/>
    <w:rsid w:val="008541EF"/>
    <w:rsid w:val="0085664E"/>
    <w:rsid w:val="00865FF8"/>
    <w:rsid w:val="00866732"/>
    <w:rsid w:val="008741C2"/>
    <w:rsid w:val="00885FFF"/>
    <w:rsid w:val="0089222A"/>
    <w:rsid w:val="0089545B"/>
    <w:rsid w:val="008A6B16"/>
    <w:rsid w:val="008A6C8C"/>
    <w:rsid w:val="008A6E30"/>
    <w:rsid w:val="008B1454"/>
    <w:rsid w:val="008B1620"/>
    <w:rsid w:val="008B2F06"/>
    <w:rsid w:val="008B4961"/>
    <w:rsid w:val="008B6310"/>
    <w:rsid w:val="008B672C"/>
    <w:rsid w:val="008D32A5"/>
    <w:rsid w:val="008D4CEE"/>
    <w:rsid w:val="008E38B2"/>
    <w:rsid w:val="008E3CFB"/>
    <w:rsid w:val="008F0AEE"/>
    <w:rsid w:val="008F2444"/>
    <w:rsid w:val="008F7331"/>
    <w:rsid w:val="00904E76"/>
    <w:rsid w:val="009057BD"/>
    <w:rsid w:val="00912062"/>
    <w:rsid w:val="00912413"/>
    <w:rsid w:val="009278B0"/>
    <w:rsid w:val="00935E47"/>
    <w:rsid w:val="00940716"/>
    <w:rsid w:val="00941E15"/>
    <w:rsid w:val="00950246"/>
    <w:rsid w:val="00952830"/>
    <w:rsid w:val="0096398E"/>
    <w:rsid w:val="009648CB"/>
    <w:rsid w:val="00965F32"/>
    <w:rsid w:val="00966F38"/>
    <w:rsid w:val="009802A1"/>
    <w:rsid w:val="009803FD"/>
    <w:rsid w:val="00982123"/>
    <w:rsid w:val="00984128"/>
    <w:rsid w:val="00986EFC"/>
    <w:rsid w:val="00994A27"/>
    <w:rsid w:val="009969B3"/>
    <w:rsid w:val="00997872"/>
    <w:rsid w:val="009A12C5"/>
    <w:rsid w:val="009A2A9A"/>
    <w:rsid w:val="009A4118"/>
    <w:rsid w:val="009A50B3"/>
    <w:rsid w:val="009B007D"/>
    <w:rsid w:val="009B199E"/>
    <w:rsid w:val="009B22FF"/>
    <w:rsid w:val="009B313D"/>
    <w:rsid w:val="009B7F68"/>
    <w:rsid w:val="009C5131"/>
    <w:rsid w:val="009C6E87"/>
    <w:rsid w:val="009D066F"/>
    <w:rsid w:val="009D2ACF"/>
    <w:rsid w:val="009D6366"/>
    <w:rsid w:val="009E07B6"/>
    <w:rsid w:val="009E0BD5"/>
    <w:rsid w:val="009E177B"/>
    <w:rsid w:val="009E22D9"/>
    <w:rsid w:val="009E515E"/>
    <w:rsid w:val="009E69AF"/>
    <w:rsid w:val="009F385F"/>
    <w:rsid w:val="009F52D7"/>
    <w:rsid w:val="00A0230F"/>
    <w:rsid w:val="00A0444E"/>
    <w:rsid w:val="00A04F8B"/>
    <w:rsid w:val="00A10117"/>
    <w:rsid w:val="00A1400C"/>
    <w:rsid w:val="00A256E1"/>
    <w:rsid w:val="00A42007"/>
    <w:rsid w:val="00A45082"/>
    <w:rsid w:val="00A45B29"/>
    <w:rsid w:val="00A565CC"/>
    <w:rsid w:val="00A62ED8"/>
    <w:rsid w:val="00A63914"/>
    <w:rsid w:val="00A64C40"/>
    <w:rsid w:val="00A64CA9"/>
    <w:rsid w:val="00A65681"/>
    <w:rsid w:val="00A70AC0"/>
    <w:rsid w:val="00A75D5A"/>
    <w:rsid w:val="00A77CC3"/>
    <w:rsid w:val="00A83809"/>
    <w:rsid w:val="00A9105D"/>
    <w:rsid w:val="00A97CBE"/>
    <w:rsid w:val="00AA0EA4"/>
    <w:rsid w:val="00AA3D50"/>
    <w:rsid w:val="00AA452B"/>
    <w:rsid w:val="00AA4EFC"/>
    <w:rsid w:val="00AB31E9"/>
    <w:rsid w:val="00AB56D3"/>
    <w:rsid w:val="00AC6130"/>
    <w:rsid w:val="00AD02AE"/>
    <w:rsid w:val="00AD53D2"/>
    <w:rsid w:val="00AE4ADF"/>
    <w:rsid w:val="00AE4B5B"/>
    <w:rsid w:val="00AE52CA"/>
    <w:rsid w:val="00AE726B"/>
    <w:rsid w:val="00B05E44"/>
    <w:rsid w:val="00B16C61"/>
    <w:rsid w:val="00B17F61"/>
    <w:rsid w:val="00B2016E"/>
    <w:rsid w:val="00B245FE"/>
    <w:rsid w:val="00B26B0D"/>
    <w:rsid w:val="00B27971"/>
    <w:rsid w:val="00B310F0"/>
    <w:rsid w:val="00B336FD"/>
    <w:rsid w:val="00B41861"/>
    <w:rsid w:val="00B45EC8"/>
    <w:rsid w:val="00B464F6"/>
    <w:rsid w:val="00B525A2"/>
    <w:rsid w:val="00B53271"/>
    <w:rsid w:val="00B70C9A"/>
    <w:rsid w:val="00B722E9"/>
    <w:rsid w:val="00B73CA6"/>
    <w:rsid w:val="00B8033B"/>
    <w:rsid w:val="00B84189"/>
    <w:rsid w:val="00B855D7"/>
    <w:rsid w:val="00B85773"/>
    <w:rsid w:val="00B85EA2"/>
    <w:rsid w:val="00B940E3"/>
    <w:rsid w:val="00BA527A"/>
    <w:rsid w:val="00BA5D4B"/>
    <w:rsid w:val="00BA6AF1"/>
    <w:rsid w:val="00BB0E50"/>
    <w:rsid w:val="00BB7066"/>
    <w:rsid w:val="00BC3D77"/>
    <w:rsid w:val="00BD564F"/>
    <w:rsid w:val="00BE4F97"/>
    <w:rsid w:val="00BF31F6"/>
    <w:rsid w:val="00BF4A40"/>
    <w:rsid w:val="00C03F69"/>
    <w:rsid w:val="00C13573"/>
    <w:rsid w:val="00C14F2D"/>
    <w:rsid w:val="00C17976"/>
    <w:rsid w:val="00C37E14"/>
    <w:rsid w:val="00C40FB9"/>
    <w:rsid w:val="00C42074"/>
    <w:rsid w:val="00C43A96"/>
    <w:rsid w:val="00C5704E"/>
    <w:rsid w:val="00C7238F"/>
    <w:rsid w:val="00C73342"/>
    <w:rsid w:val="00C76449"/>
    <w:rsid w:val="00C773B1"/>
    <w:rsid w:val="00C81CE2"/>
    <w:rsid w:val="00C93481"/>
    <w:rsid w:val="00C955AB"/>
    <w:rsid w:val="00CA04DD"/>
    <w:rsid w:val="00CA432E"/>
    <w:rsid w:val="00CC06E0"/>
    <w:rsid w:val="00CC12EF"/>
    <w:rsid w:val="00CC5736"/>
    <w:rsid w:val="00CD436E"/>
    <w:rsid w:val="00CE01E8"/>
    <w:rsid w:val="00CE2E60"/>
    <w:rsid w:val="00CE4A76"/>
    <w:rsid w:val="00CF180C"/>
    <w:rsid w:val="00CF2274"/>
    <w:rsid w:val="00CF5B80"/>
    <w:rsid w:val="00CF7D87"/>
    <w:rsid w:val="00D02B24"/>
    <w:rsid w:val="00D04C40"/>
    <w:rsid w:val="00D05B89"/>
    <w:rsid w:val="00D115B6"/>
    <w:rsid w:val="00D229FE"/>
    <w:rsid w:val="00D22F92"/>
    <w:rsid w:val="00D23ACB"/>
    <w:rsid w:val="00D25E5C"/>
    <w:rsid w:val="00D266F9"/>
    <w:rsid w:val="00D40740"/>
    <w:rsid w:val="00D4515B"/>
    <w:rsid w:val="00D56CEF"/>
    <w:rsid w:val="00D60699"/>
    <w:rsid w:val="00D67358"/>
    <w:rsid w:val="00D71000"/>
    <w:rsid w:val="00D87529"/>
    <w:rsid w:val="00D87D30"/>
    <w:rsid w:val="00D90951"/>
    <w:rsid w:val="00D951DF"/>
    <w:rsid w:val="00DA3C33"/>
    <w:rsid w:val="00DA47A5"/>
    <w:rsid w:val="00DA519B"/>
    <w:rsid w:val="00DC249F"/>
    <w:rsid w:val="00DC687B"/>
    <w:rsid w:val="00DD0AC7"/>
    <w:rsid w:val="00DD2ACD"/>
    <w:rsid w:val="00DD7573"/>
    <w:rsid w:val="00DE1108"/>
    <w:rsid w:val="00DE2232"/>
    <w:rsid w:val="00DE26B7"/>
    <w:rsid w:val="00DE2B6B"/>
    <w:rsid w:val="00DE61DD"/>
    <w:rsid w:val="00E0180E"/>
    <w:rsid w:val="00E01E82"/>
    <w:rsid w:val="00E02B6C"/>
    <w:rsid w:val="00E058FD"/>
    <w:rsid w:val="00E1200B"/>
    <w:rsid w:val="00E12A4E"/>
    <w:rsid w:val="00E135B0"/>
    <w:rsid w:val="00E1402A"/>
    <w:rsid w:val="00E179A4"/>
    <w:rsid w:val="00E33A20"/>
    <w:rsid w:val="00E37071"/>
    <w:rsid w:val="00E43BB2"/>
    <w:rsid w:val="00E44B59"/>
    <w:rsid w:val="00E46EC8"/>
    <w:rsid w:val="00E5079F"/>
    <w:rsid w:val="00E509F4"/>
    <w:rsid w:val="00E5689C"/>
    <w:rsid w:val="00E60E8E"/>
    <w:rsid w:val="00E6212D"/>
    <w:rsid w:val="00E629A1"/>
    <w:rsid w:val="00E75C5C"/>
    <w:rsid w:val="00E766AA"/>
    <w:rsid w:val="00E96AA8"/>
    <w:rsid w:val="00E96CA4"/>
    <w:rsid w:val="00EA0F33"/>
    <w:rsid w:val="00EA2A6C"/>
    <w:rsid w:val="00EB5D61"/>
    <w:rsid w:val="00EC2A75"/>
    <w:rsid w:val="00EC4430"/>
    <w:rsid w:val="00EC4A8B"/>
    <w:rsid w:val="00ED2CD6"/>
    <w:rsid w:val="00ED47CA"/>
    <w:rsid w:val="00ED7A4B"/>
    <w:rsid w:val="00EE12A6"/>
    <w:rsid w:val="00F10B8F"/>
    <w:rsid w:val="00F25924"/>
    <w:rsid w:val="00F30E47"/>
    <w:rsid w:val="00F42269"/>
    <w:rsid w:val="00F566F9"/>
    <w:rsid w:val="00F577F4"/>
    <w:rsid w:val="00F67753"/>
    <w:rsid w:val="00F70D28"/>
    <w:rsid w:val="00F70FFB"/>
    <w:rsid w:val="00F71382"/>
    <w:rsid w:val="00F7272A"/>
    <w:rsid w:val="00F807E8"/>
    <w:rsid w:val="00F85111"/>
    <w:rsid w:val="00FA562B"/>
    <w:rsid w:val="00FA58E2"/>
    <w:rsid w:val="00FA590A"/>
    <w:rsid w:val="00FA6A49"/>
    <w:rsid w:val="00FB1BDF"/>
    <w:rsid w:val="00FB32E9"/>
    <w:rsid w:val="00FC1A0E"/>
    <w:rsid w:val="00FC243B"/>
    <w:rsid w:val="00FC3C2F"/>
    <w:rsid w:val="00FC46D6"/>
    <w:rsid w:val="00FC4ED7"/>
    <w:rsid w:val="00FE7074"/>
    <w:rsid w:val="00FF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5DA81B"/>
  <w15:docId w15:val="{37F52854-BDAB-4B75-B99C-D6A28806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B31E9"/>
    <w:rPr>
      <w:rFonts w:ascii="Arial" w:hAnsi="Arial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6391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es-MX"/>
    </w:rPr>
  </w:style>
  <w:style w:type="paragraph" w:styleId="Ttulo3">
    <w:name w:val="heading 3"/>
    <w:basedOn w:val="Normal"/>
    <w:next w:val="Normal"/>
    <w:qFormat/>
    <w:rsid w:val="00AB31E9"/>
    <w:pPr>
      <w:keepNext/>
      <w:ind w:left="180" w:right="110"/>
      <w:outlineLvl w:val="2"/>
    </w:pPr>
    <w:rPr>
      <w:rFonts w:ascii="Univers Condensed" w:hAnsi="Univers Condensed" w:cs="Arial"/>
      <w:b/>
      <w:bCs/>
      <w:sz w:val="20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31E9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AB3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2E0870"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rsid w:val="00263C9D"/>
    <w:rPr>
      <w:sz w:val="16"/>
      <w:szCs w:val="16"/>
    </w:rPr>
  </w:style>
  <w:style w:type="paragraph" w:styleId="Textocomentario">
    <w:name w:val="annotation text"/>
    <w:basedOn w:val="Normal"/>
    <w:semiHidden/>
    <w:rsid w:val="00263C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263C9D"/>
    <w:rPr>
      <w:b/>
      <w:bCs/>
    </w:rPr>
  </w:style>
  <w:style w:type="paragraph" w:customStyle="1" w:styleId="noticia2">
    <w:name w:val="noticia2"/>
    <w:basedOn w:val="Normal"/>
    <w:rsid w:val="00263E91"/>
    <w:pPr>
      <w:spacing w:before="100" w:beforeAutospacing="1" w:after="100" w:afterAutospacing="1"/>
      <w:ind w:left="45"/>
    </w:pPr>
    <w:rPr>
      <w:rFonts w:cs="Arial"/>
      <w:b/>
      <w:bCs/>
      <w:color w:val="000000"/>
      <w:sz w:val="16"/>
      <w:szCs w:val="16"/>
    </w:rPr>
  </w:style>
  <w:style w:type="paragraph" w:styleId="Revisin">
    <w:name w:val="Revision"/>
    <w:hidden/>
    <w:uiPriority w:val="99"/>
    <w:semiHidden/>
    <w:rsid w:val="00FB1BDF"/>
    <w:rPr>
      <w:rFonts w:ascii="Arial" w:hAnsi="Arial"/>
      <w:sz w:val="24"/>
      <w:szCs w:val="24"/>
      <w:lang w:val="es-ES" w:eastAsia="es-ES"/>
    </w:rPr>
  </w:style>
  <w:style w:type="paragraph" w:customStyle="1" w:styleId="Default">
    <w:name w:val="Default"/>
    <w:rsid w:val="00AC6130"/>
    <w:pPr>
      <w:autoSpaceDE w:val="0"/>
      <w:autoSpaceDN w:val="0"/>
      <w:adjustRightInd w:val="0"/>
    </w:pPr>
    <w:rPr>
      <w:rFonts w:ascii="Akzidenz Grotesk BE" w:hAnsi="Akzidenz Grotesk BE" w:cs="Akzidenz Grotesk BE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272F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320F4-438B-4FEF-928C-AC24B865F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590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CS04a Porcentaje de hogares con hijos* en edad escolar normativa básica según máximo nivel educativo alcanzado por el jefe del hogar o su cónyuge (2000 y 2005)</vt:lpstr>
    </vt:vector>
  </TitlesOfParts>
  <Company>INEE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CS04a Porcentaje de hogares con hijos* en edad escolar normativa básica según máximo nivel educativo alcanzado por el jefe del hogar o su cónyuge (2000 y 2005)</dc:title>
  <dc:subject/>
  <dc:creator>Mariel Escobar</dc:creator>
  <cp:keywords/>
  <cp:lastModifiedBy>NAA</cp:lastModifiedBy>
  <cp:revision>25</cp:revision>
  <cp:lastPrinted>2008-12-04T22:45:00Z</cp:lastPrinted>
  <dcterms:created xsi:type="dcterms:W3CDTF">2018-01-29T19:25:00Z</dcterms:created>
  <dcterms:modified xsi:type="dcterms:W3CDTF">2019-04-02T05:05:00Z</dcterms:modified>
</cp:coreProperties>
</file>