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D7399" w14:textId="77777777" w:rsidR="00F159DD" w:rsidRDefault="00F159DD" w:rsidP="00A11EFB">
      <w:pPr>
        <w:rPr>
          <w:sz w:val="16"/>
          <w:szCs w:val="16"/>
        </w:rPr>
      </w:pPr>
    </w:p>
    <w:p w14:paraId="07985F12" w14:textId="77777777" w:rsidR="00F159DD" w:rsidRDefault="00F159DD" w:rsidP="00A11EFB">
      <w:pPr>
        <w:rPr>
          <w:sz w:val="16"/>
          <w:szCs w:val="16"/>
        </w:rPr>
      </w:pPr>
    </w:p>
    <w:p w14:paraId="7B83E8A4" w14:textId="77777777" w:rsidR="00811E62" w:rsidRPr="00E21DBE" w:rsidRDefault="00F159DD" w:rsidP="00A11EFB">
      <w:pPr>
        <w:rPr>
          <w:sz w:val="16"/>
          <w:szCs w:val="16"/>
        </w:rPr>
      </w:pPr>
      <w:r w:rsidRPr="00E21DBE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B4A4F60" wp14:editId="6CD409DD">
                <wp:simplePos x="0" y="0"/>
                <wp:positionH relativeFrom="column">
                  <wp:posOffset>113665</wp:posOffset>
                </wp:positionH>
                <wp:positionV relativeFrom="paragraph">
                  <wp:posOffset>-172085</wp:posOffset>
                </wp:positionV>
                <wp:extent cx="685800" cy="234950"/>
                <wp:effectExtent l="0" t="0" r="19050" b="1270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34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357272F" w14:textId="77777777" w:rsidR="00F70F24" w:rsidRPr="003F0926" w:rsidRDefault="00F70F24" w:rsidP="00DD129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F0926">
                              <w:rPr>
                                <w:b/>
                                <w:sz w:val="20"/>
                                <w:szCs w:val="20"/>
                              </w:rPr>
                              <w:t>CS01c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4A4F60" id="AutoShape 2" o:spid="_x0000_s1026" style="position:absolute;margin-left:8.95pt;margin-top:-13.55pt;width:54pt;height:1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">
                <v:textbox inset="0,0,0,0">
                  <w:txbxContent>
                    <w:p w14:paraId="6357272F" w14:textId="77777777" w:rsidR="00F70F24" w:rsidRPr="003F0926" w:rsidRDefault="00F70F24" w:rsidP="00DD129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F0926">
                        <w:rPr>
                          <w:b/>
                          <w:sz w:val="20"/>
                          <w:szCs w:val="20"/>
                        </w:rPr>
                        <w:t>CS01c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6"/>
      </w:tblGrid>
      <w:tr w:rsidR="00811E62" w:rsidRPr="00E21DBE" w14:paraId="2C4732A7" w14:textId="77777777" w:rsidTr="00C35B0E">
        <w:trPr>
          <w:trHeight w:val="658"/>
          <w:jc w:val="center"/>
        </w:trPr>
        <w:tc>
          <w:tcPr>
            <w:tcW w:w="9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0C7C5" w14:textId="77777777" w:rsidR="00811E62" w:rsidRPr="00C478C9" w:rsidRDefault="00811E62" w:rsidP="00A11EFB">
            <w:pPr>
              <w:tabs>
                <w:tab w:val="left" w:pos="-5129"/>
              </w:tabs>
              <w:ind w:right="110"/>
              <w:rPr>
                <w:rFonts w:cs="Arial"/>
                <w:b/>
                <w:bCs/>
                <w:sz w:val="16"/>
                <w:szCs w:val="16"/>
              </w:rPr>
            </w:pPr>
            <w:r w:rsidRPr="00C478C9">
              <w:rPr>
                <w:rFonts w:cs="Arial"/>
                <w:b/>
                <w:bCs/>
                <w:sz w:val="16"/>
                <w:szCs w:val="16"/>
              </w:rPr>
              <w:t>Nombre del indicador</w:t>
            </w:r>
          </w:p>
          <w:p w14:paraId="7D7C7FFE" w14:textId="3A020434" w:rsidR="00811E62" w:rsidRPr="00C478C9" w:rsidRDefault="00991D64" w:rsidP="00C271DA">
            <w:pPr>
              <w:jc w:val="both"/>
              <w:rPr>
                <w:rFonts w:cs="Arial"/>
                <w:sz w:val="16"/>
                <w:szCs w:val="16"/>
              </w:rPr>
            </w:pPr>
            <w:r w:rsidRPr="00C478C9">
              <w:rPr>
                <w:rFonts w:cs="Arial"/>
                <w:sz w:val="16"/>
                <w:szCs w:val="16"/>
              </w:rPr>
              <w:t xml:space="preserve">Porcentaje de población </w:t>
            </w:r>
            <w:r w:rsidR="00BE1720" w:rsidRPr="00C478C9">
              <w:rPr>
                <w:rFonts w:cs="Arial"/>
                <w:sz w:val="16"/>
                <w:szCs w:val="16"/>
              </w:rPr>
              <w:t xml:space="preserve">con el antecedente para cursar </w:t>
            </w:r>
            <w:r w:rsidR="003A16A4">
              <w:rPr>
                <w:rFonts w:cs="Arial"/>
                <w:sz w:val="16"/>
                <w:szCs w:val="16"/>
              </w:rPr>
              <w:t xml:space="preserve">la </w:t>
            </w:r>
            <w:r w:rsidR="00712854" w:rsidRPr="00C478C9">
              <w:rPr>
                <w:rFonts w:cs="Arial"/>
                <w:sz w:val="16"/>
                <w:szCs w:val="16"/>
              </w:rPr>
              <w:t xml:space="preserve">educación </w:t>
            </w:r>
            <w:r w:rsidR="00BE1720" w:rsidRPr="00C478C9">
              <w:rPr>
                <w:rFonts w:cs="Arial"/>
                <w:sz w:val="16"/>
                <w:szCs w:val="16"/>
              </w:rPr>
              <w:t>secundaria, media superior</w:t>
            </w:r>
            <w:r w:rsidR="000F39DC">
              <w:rPr>
                <w:rFonts w:cs="Arial"/>
                <w:sz w:val="16"/>
                <w:szCs w:val="16"/>
              </w:rPr>
              <w:t>, superior</w:t>
            </w:r>
            <w:r w:rsidRPr="00C478C9">
              <w:rPr>
                <w:rFonts w:cs="Arial"/>
                <w:sz w:val="16"/>
                <w:szCs w:val="16"/>
              </w:rPr>
              <w:t xml:space="preserve"> </w:t>
            </w:r>
            <w:r w:rsidR="00BE1720" w:rsidRPr="00C478C9">
              <w:rPr>
                <w:rFonts w:cs="Arial"/>
                <w:sz w:val="16"/>
                <w:szCs w:val="16"/>
              </w:rPr>
              <w:t>o para adultos</w:t>
            </w:r>
          </w:p>
        </w:tc>
      </w:tr>
      <w:tr w:rsidR="00811E62" w:rsidRPr="00E21DBE" w14:paraId="614BF1CC" w14:textId="77777777" w:rsidTr="00C35B0E">
        <w:trPr>
          <w:trHeight w:val="1844"/>
          <w:jc w:val="center"/>
        </w:trPr>
        <w:tc>
          <w:tcPr>
            <w:tcW w:w="9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F026A" w14:textId="77777777" w:rsidR="009D0F19" w:rsidRPr="00775B06" w:rsidRDefault="009D0F19" w:rsidP="009D0F19">
            <w:pPr>
              <w:rPr>
                <w:rFonts w:cs="Arial"/>
                <w:b/>
                <w:sz w:val="16"/>
                <w:szCs w:val="16"/>
              </w:rPr>
            </w:pPr>
            <w:r w:rsidRPr="00775B06">
              <w:rPr>
                <w:rFonts w:cs="Arial"/>
                <w:b/>
                <w:sz w:val="16"/>
                <w:szCs w:val="16"/>
              </w:rPr>
              <w:t>Definición</w:t>
            </w:r>
          </w:p>
          <w:p w14:paraId="37BC7CDE" w14:textId="77777777" w:rsidR="009D0F19" w:rsidRPr="00775B06" w:rsidRDefault="009D0F19" w:rsidP="009D0F19">
            <w:pPr>
              <w:jc w:val="both"/>
              <w:rPr>
                <w:rFonts w:cs="Arial"/>
                <w:sz w:val="16"/>
                <w:szCs w:val="16"/>
              </w:rPr>
            </w:pPr>
            <w:r w:rsidRPr="00775B06">
              <w:rPr>
                <w:rFonts w:cs="Arial"/>
                <w:sz w:val="16"/>
                <w:szCs w:val="16"/>
              </w:rPr>
              <w:t>Número de personas en un grupo de edad que tienen la escolaridad requerida para cursar cierto nivel</w:t>
            </w:r>
            <w:r w:rsidR="008C3BE8" w:rsidRPr="00775B06">
              <w:rPr>
                <w:rFonts w:cs="Arial"/>
                <w:sz w:val="16"/>
                <w:szCs w:val="16"/>
              </w:rPr>
              <w:t xml:space="preserve"> o tipo</w:t>
            </w:r>
            <w:r w:rsidRPr="00775B06">
              <w:rPr>
                <w:rFonts w:cs="Arial"/>
                <w:sz w:val="16"/>
                <w:szCs w:val="16"/>
              </w:rPr>
              <w:t xml:space="preserve"> educativo por cada cien de la población total en el mismo grupo de edad.</w:t>
            </w:r>
          </w:p>
          <w:p w14:paraId="550F1AC0" w14:textId="77777777" w:rsidR="00FF1DFB" w:rsidRPr="00775B06" w:rsidRDefault="00FF1DFB" w:rsidP="009D0F19">
            <w:pPr>
              <w:jc w:val="both"/>
              <w:rPr>
                <w:rFonts w:cs="Arial"/>
                <w:sz w:val="16"/>
                <w:szCs w:val="16"/>
              </w:rPr>
            </w:pPr>
          </w:p>
          <w:p w14:paraId="3F822A3E" w14:textId="6A51D07E" w:rsidR="009D0F19" w:rsidRPr="00775B06" w:rsidRDefault="009D0F19" w:rsidP="009D0F19">
            <w:pPr>
              <w:jc w:val="both"/>
              <w:rPr>
                <w:rFonts w:cs="Arial"/>
                <w:sz w:val="16"/>
                <w:szCs w:val="16"/>
              </w:rPr>
            </w:pPr>
            <w:r w:rsidRPr="00775B06">
              <w:rPr>
                <w:rFonts w:cs="Arial"/>
                <w:sz w:val="16"/>
                <w:szCs w:val="16"/>
              </w:rPr>
              <w:t xml:space="preserve">La población con el antecedente para cursar </w:t>
            </w:r>
            <w:r w:rsidR="003A16A4" w:rsidRPr="00775B06">
              <w:rPr>
                <w:rFonts w:cs="Arial"/>
                <w:sz w:val="16"/>
                <w:szCs w:val="16"/>
              </w:rPr>
              <w:t xml:space="preserve">la </w:t>
            </w:r>
            <w:r w:rsidRPr="00775B06">
              <w:rPr>
                <w:rFonts w:cs="Arial"/>
                <w:sz w:val="16"/>
                <w:szCs w:val="16"/>
              </w:rPr>
              <w:t>educación secundaria comprende a los niños de 12 a 14 años que tienen educación primaria completa y no tienen educación secundaria. Ésta constituye la población atendible en educación secundaria.</w:t>
            </w:r>
          </w:p>
          <w:p w14:paraId="7F9B54FA" w14:textId="77777777" w:rsidR="00FF1DFB" w:rsidRPr="00775B06" w:rsidRDefault="00FF1DFB" w:rsidP="009D0F19">
            <w:pPr>
              <w:jc w:val="both"/>
              <w:rPr>
                <w:rFonts w:cs="Arial"/>
                <w:sz w:val="16"/>
                <w:szCs w:val="16"/>
              </w:rPr>
            </w:pPr>
          </w:p>
          <w:p w14:paraId="0517ED77" w14:textId="78AC2BF0" w:rsidR="009D0F19" w:rsidRPr="00775B06" w:rsidRDefault="009D0F19" w:rsidP="009D0F19">
            <w:pPr>
              <w:jc w:val="both"/>
              <w:rPr>
                <w:rFonts w:cs="Arial"/>
                <w:sz w:val="16"/>
                <w:szCs w:val="16"/>
              </w:rPr>
            </w:pPr>
            <w:r w:rsidRPr="00775B06">
              <w:rPr>
                <w:rFonts w:cs="Arial"/>
                <w:sz w:val="16"/>
                <w:szCs w:val="16"/>
              </w:rPr>
              <w:t xml:space="preserve">La población con el antecedente para estudiar </w:t>
            </w:r>
            <w:r w:rsidR="003A16A4" w:rsidRPr="00775B06">
              <w:rPr>
                <w:rFonts w:cs="Arial"/>
                <w:sz w:val="16"/>
                <w:szCs w:val="16"/>
              </w:rPr>
              <w:t xml:space="preserve">la </w:t>
            </w:r>
            <w:r w:rsidRPr="00775B06">
              <w:rPr>
                <w:rFonts w:cs="Arial"/>
                <w:sz w:val="16"/>
                <w:szCs w:val="16"/>
              </w:rPr>
              <w:t xml:space="preserve">educación media superior agrupa a los jóvenes de 15 a 17 años que han completado la educación básica y no cuentan con </w:t>
            </w:r>
            <w:r w:rsidR="003A16A4" w:rsidRPr="00775B06">
              <w:rPr>
                <w:rFonts w:cs="Arial"/>
                <w:sz w:val="16"/>
                <w:szCs w:val="16"/>
              </w:rPr>
              <w:t xml:space="preserve">la </w:t>
            </w:r>
            <w:r w:rsidRPr="00775B06">
              <w:rPr>
                <w:rFonts w:cs="Arial"/>
                <w:sz w:val="16"/>
                <w:szCs w:val="16"/>
              </w:rPr>
              <w:t xml:space="preserve">educación media superior. Ésta constituye la población atendible en </w:t>
            </w:r>
            <w:r w:rsidR="00DC6883" w:rsidRPr="00775B06">
              <w:rPr>
                <w:rFonts w:cs="Arial"/>
                <w:sz w:val="16"/>
                <w:szCs w:val="16"/>
              </w:rPr>
              <w:t>e</w:t>
            </w:r>
            <w:r w:rsidR="001D4008" w:rsidRPr="00775B06">
              <w:rPr>
                <w:rFonts w:cs="Arial"/>
                <w:sz w:val="16"/>
                <w:szCs w:val="16"/>
              </w:rPr>
              <w:t xml:space="preserve">ducación </w:t>
            </w:r>
            <w:r w:rsidR="00DC6883" w:rsidRPr="00775B06">
              <w:rPr>
                <w:rFonts w:cs="Arial"/>
                <w:sz w:val="16"/>
                <w:szCs w:val="16"/>
              </w:rPr>
              <w:t>m</w:t>
            </w:r>
            <w:r w:rsidR="001D4008" w:rsidRPr="00775B06">
              <w:rPr>
                <w:rFonts w:cs="Arial"/>
                <w:sz w:val="16"/>
                <w:szCs w:val="16"/>
              </w:rPr>
              <w:t xml:space="preserve">edia </w:t>
            </w:r>
            <w:r w:rsidR="00DC6883" w:rsidRPr="00775B06">
              <w:rPr>
                <w:rFonts w:cs="Arial"/>
                <w:sz w:val="16"/>
                <w:szCs w:val="16"/>
              </w:rPr>
              <w:t>s</w:t>
            </w:r>
            <w:r w:rsidR="001D4008" w:rsidRPr="00775B06">
              <w:rPr>
                <w:rFonts w:cs="Arial"/>
                <w:sz w:val="16"/>
                <w:szCs w:val="16"/>
              </w:rPr>
              <w:t>uperior</w:t>
            </w:r>
            <w:r w:rsidRPr="00775B06">
              <w:rPr>
                <w:rFonts w:cs="Arial"/>
                <w:sz w:val="16"/>
                <w:szCs w:val="16"/>
              </w:rPr>
              <w:t>.</w:t>
            </w:r>
          </w:p>
          <w:p w14:paraId="001E9A97" w14:textId="311D44D5" w:rsidR="000F39DC" w:rsidRPr="00775B06" w:rsidRDefault="000F39DC" w:rsidP="009D0F19">
            <w:pPr>
              <w:jc w:val="both"/>
              <w:rPr>
                <w:rFonts w:cs="Arial"/>
                <w:sz w:val="16"/>
                <w:szCs w:val="16"/>
              </w:rPr>
            </w:pPr>
          </w:p>
          <w:p w14:paraId="4AE67F23" w14:textId="1EB8B982" w:rsidR="000F39DC" w:rsidRPr="00775B06" w:rsidRDefault="000F39DC" w:rsidP="009D0F19">
            <w:pPr>
              <w:jc w:val="both"/>
              <w:rPr>
                <w:rFonts w:cs="Arial"/>
                <w:sz w:val="16"/>
                <w:szCs w:val="16"/>
              </w:rPr>
            </w:pPr>
            <w:r w:rsidRPr="00775B06">
              <w:rPr>
                <w:rFonts w:cs="Arial"/>
                <w:sz w:val="16"/>
                <w:szCs w:val="16"/>
              </w:rPr>
              <w:t>La población con el antecedente para estudiar la educación superior agrupa a los jóvenes de 18 a 24 años que han completado la educación media superior y no cuentan con la educación superior. Ésta constituye una aproximación de la población atendible en la educación superior.</w:t>
            </w:r>
          </w:p>
          <w:p w14:paraId="01FD9E6A" w14:textId="77777777" w:rsidR="00FF1DFB" w:rsidRPr="00775B06" w:rsidRDefault="00FF1DFB" w:rsidP="009D0F19">
            <w:pPr>
              <w:rPr>
                <w:rFonts w:cs="Arial"/>
                <w:sz w:val="16"/>
                <w:szCs w:val="16"/>
              </w:rPr>
            </w:pPr>
          </w:p>
          <w:p w14:paraId="79B2F41D" w14:textId="137A8477" w:rsidR="00811E62" w:rsidRPr="00775B06" w:rsidRDefault="009D0F19" w:rsidP="00B462F3">
            <w:pPr>
              <w:rPr>
                <w:rFonts w:cs="Arial"/>
                <w:sz w:val="16"/>
                <w:szCs w:val="16"/>
              </w:rPr>
            </w:pPr>
            <w:r w:rsidRPr="00775B06">
              <w:rPr>
                <w:rFonts w:cs="Arial"/>
                <w:sz w:val="16"/>
                <w:szCs w:val="16"/>
              </w:rPr>
              <w:t xml:space="preserve">La población con el antecedente para cursar </w:t>
            </w:r>
            <w:r w:rsidR="003A16A4" w:rsidRPr="00775B06">
              <w:rPr>
                <w:rFonts w:cs="Arial"/>
                <w:sz w:val="16"/>
                <w:szCs w:val="16"/>
              </w:rPr>
              <w:t xml:space="preserve">la </w:t>
            </w:r>
            <w:r w:rsidRPr="00775B06">
              <w:rPr>
                <w:rFonts w:cs="Arial"/>
                <w:sz w:val="16"/>
                <w:szCs w:val="16"/>
              </w:rPr>
              <w:t xml:space="preserve">educación para adultos </w:t>
            </w:r>
            <w:r w:rsidR="00B462F3" w:rsidRPr="00775B06">
              <w:rPr>
                <w:rFonts w:cs="Arial"/>
                <w:sz w:val="16"/>
                <w:szCs w:val="16"/>
              </w:rPr>
              <w:t>es</w:t>
            </w:r>
            <w:r w:rsidRPr="00775B06">
              <w:rPr>
                <w:rFonts w:cs="Arial"/>
                <w:sz w:val="16"/>
                <w:szCs w:val="16"/>
              </w:rPr>
              <w:t xml:space="preserve"> aqu</w:t>
            </w:r>
            <w:r w:rsidR="00B462F3" w:rsidRPr="00775B06">
              <w:rPr>
                <w:rFonts w:cs="Arial"/>
                <w:sz w:val="16"/>
                <w:szCs w:val="16"/>
              </w:rPr>
              <w:t>e</w:t>
            </w:r>
            <w:r w:rsidRPr="00775B06">
              <w:rPr>
                <w:rFonts w:cs="Arial"/>
                <w:sz w:val="16"/>
                <w:szCs w:val="16"/>
              </w:rPr>
              <w:t xml:space="preserve">lla </w:t>
            </w:r>
            <w:r w:rsidR="00946A71" w:rsidRPr="00775B06">
              <w:rPr>
                <w:rFonts w:cs="Arial"/>
                <w:sz w:val="16"/>
                <w:szCs w:val="16"/>
              </w:rPr>
              <w:t>con</w:t>
            </w:r>
            <w:r w:rsidRPr="00775B06">
              <w:rPr>
                <w:rFonts w:cs="Arial"/>
                <w:sz w:val="16"/>
                <w:szCs w:val="16"/>
              </w:rPr>
              <w:t xml:space="preserve"> 15 años</w:t>
            </w:r>
            <w:r w:rsidR="00AB6A72" w:rsidRPr="00775B06">
              <w:rPr>
                <w:rFonts w:cs="Arial"/>
                <w:sz w:val="16"/>
                <w:szCs w:val="16"/>
              </w:rPr>
              <w:t xml:space="preserve"> </w:t>
            </w:r>
            <w:r w:rsidRPr="00775B06">
              <w:rPr>
                <w:rFonts w:cs="Arial"/>
                <w:sz w:val="16"/>
                <w:szCs w:val="16"/>
              </w:rPr>
              <w:t xml:space="preserve">o más </w:t>
            </w:r>
            <w:r w:rsidR="003A16A4" w:rsidRPr="00775B06">
              <w:rPr>
                <w:rFonts w:cs="Arial"/>
                <w:sz w:val="16"/>
                <w:szCs w:val="16"/>
              </w:rPr>
              <w:t xml:space="preserve">de edad </w:t>
            </w:r>
            <w:r w:rsidRPr="00775B06">
              <w:rPr>
                <w:rFonts w:cs="Arial"/>
                <w:sz w:val="16"/>
                <w:szCs w:val="16"/>
              </w:rPr>
              <w:t>que no tiene cubierta la educación básica. Ésta constituye la población atendible en la educación para adultos.</w:t>
            </w:r>
          </w:p>
        </w:tc>
      </w:tr>
      <w:tr w:rsidR="00811E62" w:rsidRPr="00E21DBE" w14:paraId="2BD3CCE1" w14:textId="77777777" w:rsidTr="002E55A6">
        <w:trPr>
          <w:trHeight w:val="1837"/>
          <w:jc w:val="center"/>
        </w:trPr>
        <w:tc>
          <w:tcPr>
            <w:tcW w:w="9586" w:type="dxa"/>
            <w:tcBorders>
              <w:top w:val="single" w:sz="4" w:space="0" w:color="auto"/>
              <w:bottom w:val="nil"/>
            </w:tcBorders>
          </w:tcPr>
          <w:p w14:paraId="39881A38" w14:textId="12F8CA48" w:rsidR="00D02C75" w:rsidRPr="00775B06" w:rsidRDefault="00811E62" w:rsidP="00A11EFB">
            <w:pPr>
              <w:ind w:right="-70"/>
              <w:rPr>
                <w:rFonts w:cs="Arial"/>
                <w:b/>
                <w:sz w:val="16"/>
                <w:szCs w:val="16"/>
              </w:rPr>
            </w:pPr>
            <w:r w:rsidRPr="00775B06">
              <w:rPr>
                <w:rFonts w:cs="Arial"/>
                <w:b/>
                <w:sz w:val="16"/>
                <w:szCs w:val="16"/>
              </w:rPr>
              <w:t>Fórmula de cálculo</w:t>
            </w:r>
          </w:p>
          <w:p w14:paraId="35629A88" w14:textId="77777777" w:rsidR="00811E62" w:rsidRPr="00775B06" w:rsidRDefault="00E41CAA" w:rsidP="005746D4">
            <w:pPr>
              <w:ind w:right="-70"/>
              <w:jc w:val="center"/>
              <w:rPr>
                <w:rFonts w:cs="Arial"/>
                <w:i/>
                <w:sz w:val="22"/>
                <w:szCs w:val="20"/>
                <w:lang w:val="es-MX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0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cs="Arial"/>
                          <w:i/>
                          <w:sz w:val="22"/>
                          <w:szCs w:val="20"/>
                          <w:lang w:val="es-MX"/>
                        </w:rPr>
                        <m:t>PA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cs="Arial"/>
                          <w:i/>
                          <w:sz w:val="22"/>
                          <w:szCs w:val="20"/>
                          <w:lang w:val="es-MX"/>
                        </w:rPr>
                        <m:t>s,ge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0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cs="Arial"/>
                          <w:i/>
                          <w:sz w:val="22"/>
                          <w:szCs w:val="20"/>
                          <w:lang w:val="es-MX"/>
                        </w:rPr>
                        <m:t>P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cs="Arial"/>
                          <w:i/>
                          <w:sz w:val="22"/>
                          <w:szCs w:val="20"/>
                          <w:lang w:val="es-MX"/>
                        </w:rPr>
                        <m:t>ge</m:t>
                      </m:r>
                    </m:sub>
                  </m:sSub>
                </m:den>
              </m:f>
              <m:r>
                <m:rPr>
                  <m:nor/>
                </m:rPr>
                <w:rPr>
                  <w:rFonts w:cs="Arial"/>
                  <w:i/>
                  <w:sz w:val="22"/>
                  <w:szCs w:val="20"/>
                  <w:lang w:val="es-MX"/>
                </w:rPr>
                <m:t>x100</m:t>
              </m:r>
            </m:oMath>
            <w:r w:rsidR="00811E62" w:rsidRPr="00775B06">
              <w:rPr>
                <w:sz w:val="22"/>
                <w:szCs w:val="16"/>
                <w:lang w:val="nn-NO"/>
              </w:rPr>
              <w:t xml:space="preserve">                                      </w:t>
            </w:r>
          </w:p>
          <w:tbl>
            <w:tblPr>
              <w:tblpPr w:leftFromText="141" w:rightFromText="141" w:vertAnchor="text" w:horzAnchor="page" w:tblpX="1992" w:tblpY="73"/>
              <w:tblOverlap w:val="never"/>
              <w:tblW w:w="5000" w:type="pct"/>
              <w:tblLayout w:type="fixed"/>
              <w:tblLook w:val="01E0" w:firstRow="1" w:lastRow="1" w:firstColumn="1" w:lastColumn="1" w:noHBand="0" w:noVBand="0"/>
            </w:tblPr>
            <w:tblGrid>
              <w:gridCol w:w="1419"/>
              <w:gridCol w:w="8027"/>
            </w:tblGrid>
            <w:tr w:rsidR="00811E62" w:rsidRPr="00775B06" w14:paraId="2C55D9EC" w14:textId="77777777" w:rsidTr="00011983">
              <w:trPr>
                <w:trHeight w:val="191"/>
              </w:trPr>
              <w:tc>
                <w:tcPr>
                  <w:tcW w:w="751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CF1220" w14:textId="77777777" w:rsidR="00811E62" w:rsidRPr="00775B06" w:rsidRDefault="00011983" w:rsidP="00011983">
                  <w:pPr>
                    <w:ind w:right="-70"/>
                    <w:jc w:val="right"/>
                    <w:rPr>
                      <w:rFonts w:cs="Arial"/>
                      <w:i/>
                      <w:sz w:val="16"/>
                      <w:szCs w:val="16"/>
                    </w:rPr>
                  </w:pPr>
                  <w:r w:rsidRPr="00775B06">
                    <w:rPr>
                      <w:rFonts w:cs="Arial"/>
                      <w:i/>
                      <w:sz w:val="16"/>
                      <w:szCs w:val="16"/>
                    </w:rPr>
                    <w:t>s</w:t>
                  </w:r>
                </w:p>
              </w:tc>
              <w:tc>
                <w:tcPr>
                  <w:tcW w:w="424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7CF70A5F" w14:textId="0E773725" w:rsidR="00811E62" w:rsidRPr="00775B06" w:rsidRDefault="001F560D" w:rsidP="008C3BE8">
                  <w:pPr>
                    <w:ind w:right="-70"/>
                  </w:pPr>
                  <w:r w:rsidRPr="00775B06">
                    <w:rPr>
                      <w:rFonts w:cs="Arial"/>
                      <w:sz w:val="16"/>
                      <w:szCs w:val="16"/>
                    </w:rPr>
                    <w:t>Subs</w:t>
                  </w:r>
                  <w:r w:rsidR="00011983" w:rsidRPr="00775B06">
                    <w:rPr>
                      <w:rFonts w:cs="Arial"/>
                      <w:sz w:val="16"/>
                      <w:szCs w:val="16"/>
                    </w:rPr>
                    <w:t>istema educativo</w:t>
                  </w:r>
                  <w:r w:rsidR="00424FA9" w:rsidRPr="00775B06">
                    <w:rPr>
                      <w:rFonts w:cs="Arial"/>
                      <w:sz w:val="16"/>
                      <w:szCs w:val="16"/>
                    </w:rPr>
                    <w:t xml:space="preserve">: </w:t>
                  </w:r>
                  <w:r w:rsidR="00C93D77" w:rsidRPr="00775B06">
                    <w:rPr>
                      <w:rFonts w:cs="Arial"/>
                      <w:sz w:val="16"/>
                      <w:szCs w:val="16"/>
                    </w:rPr>
                    <w:t>educación s</w:t>
                  </w:r>
                  <w:r w:rsidR="00011983" w:rsidRPr="00775B06">
                    <w:rPr>
                      <w:rFonts w:cs="Arial"/>
                      <w:sz w:val="16"/>
                      <w:szCs w:val="16"/>
                    </w:rPr>
                    <w:t>ecundaria, media superior</w:t>
                  </w:r>
                  <w:r w:rsidR="000F39DC" w:rsidRPr="00775B06">
                    <w:rPr>
                      <w:rFonts w:cs="Arial"/>
                      <w:sz w:val="16"/>
                      <w:szCs w:val="16"/>
                    </w:rPr>
                    <w:t>, superior</w:t>
                  </w:r>
                  <w:r w:rsidR="00011983" w:rsidRPr="00775B06">
                    <w:rPr>
                      <w:rFonts w:cs="Arial"/>
                      <w:sz w:val="16"/>
                      <w:szCs w:val="16"/>
                    </w:rPr>
                    <w:t xml:space="preserve"> y para adultos</w:t>
                  </w:r>
                  <w:r w:rsidR="00811E62" w:rsidRPr="00775B06"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811E62" w:rsidRPr="00775B06" w14:paraId="09E0EA3E" w14:textId="77777777" w:rsidTr="00011983">
              <w:trPr>
                <w:trHeight w:val="191"/>
              </w:trPr>
              <w:tc>
                <w:tcPr>
                  <w:tcW w:w="751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95EC80" w14:textId="77777777" w:rsidR="00811E62" w:rsidRPr="00775B06" w:rsidRDefault="00811E62" w:rsidP="00011983">
                  <w:pPr>
                    <w:ind w:right="-70"/>
                    <w:jc w:val="right"/>
                    <w:rPr>
                      <w:i/>
                      <w:sz w:val="16"/>
                      <w:szCs w:val="16"/>
                    </w:rPr>
                  </w:pPr>
                  <w:r w:rsidRPr="00775B06">
                    <w:rPr>
                      <w:i/>
                      <w:sz w:val="16"/>
                      <w:szCs w:val="16"/>
                    </w:rPr>
                    <w:t>ge</w:t>
                  </w:r>
                </w:p>
              </w:tc>
              <w:tc>
                <w:tcPr>
                  <w:tcW w:w="424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369EEC6D" w14:textId="40DD4873" w:rsidR="00811E62" w:rsidRPr="00775B06" w:rsidRDefault="00811E62" w:rsidP="00A76DC2">
                  <w:pPr>
                    <w:ind w:right="-70"/>
                    <w:rPr>
                      <w:rFonts w:cs="Arial"/>
                      <w:sz w:val="16"/>
                      <w:szCs w:val="16"/>
                    </w:rPr>
                  </w:pPr>
                  <w:r w:rsidRPr="00775B06">
                    <w:rPr>
                      <w:rFonts w:cs="Arial"/>
                      <w:sz w:val="16"/>
                      <w:szCs w:val="16"/>
                    </w:rPr>
                    <w:t xml:space="preserve">Grupo de edad: </w:t>
                  </w:r>
                  <w:r w:rsidR="007642ED" w:rsidRPr="00775B06">
                    <w:rPr>
                      <w:rFonts w:cs="Arial"/>
                      <w:sz w:val="16"/>
                      <w:szCs w:val="16"/>
                    </w:rPr>
                    <w:t>12</w:t>
                  </w:r>
                  <w:r w:rsidR="00FF1DFB" w:rsidRPr="00775B06">
                    <w:rPr>
                      <w:rFonts w:cs="Arial"/>
                      <w:sz w:val="16"/>
                      <w:szCs w:val="16"/>
                    </w:rPr>
                    <w:t xml:space="preserve"> a </w:t>
                  </w:r>
                  <w:r w:rsidR="007642ED" w:rsidRPr="00775B06">
                    <w:rPr>
                      <w:rFonts w:cs="Arial"/>
                      <w:sz w:val="16"/>
                      <w:szCs w:val="16"/>
                    </w:rPr>
                    <w:t xml:space="preserve">14 años (edad </w:t>
                  </w:r>
                  <w:r w:rsidR="00F02530" w:rsidRPr="00775B06">
                    <w:rPr>
                      <w:rFonts w:cs="Arial"/>
                      <w:sz w:val="16"/>
                      <w:szCs w:val="16"/>
                    </w:rPr>
                    <w:t>idónea</w:t>
                  </w:r>
                  <w:r w:rsidR="007642ED" w:rsidRPr="00775B06">
                    <w:rPr>
                      <w:rFonts w:cs="Arial"/>
                      <w:sz w:val="16"/>
                      <w:szCs w:val="16"/>
                    </w:rPr>
                    <w:t xml:space="preserve"> de </w:t>
                  </w:r>
                  <w:r w:rsidR="00A76DC2" w:rsidRPr="00775B06">
                    <w:rPr>
                      <w:rFonts w:cs="Arial"/>
                      <w:sz w:val="16"/>
                      <w:szCs w:val="16"/>
                    </w:rPr>
                    <w:t xml:space="preserve">educación </w:t>
                  </w:r>
                  <w:r w:rsidR="007642ED" w:rsidRPr="00775B06">
                    <w:rPr>
                      <w:rFonts w:cs="Arial"/>
                      <w:sz w:val="16"/>
                      <w:szCs w:val="16"/>
                    </w:rPr>
                    <w:t xml:space="preserve">secundaria), </w:t>
                  </w:r>
                  <w:r w:rsidRPr="00775B06">
                    <w:rPr>
                      <w:rFonts w:cs="Arial"/>
                      <w:sz w:val="16"/>
                      <w:szCs w:val="16"/>
                    </w:rPr>
                    <w:t>15</w:t>
                  </w:r>
                  <w:r w:rsidR="00FF1DFB" w:rsidRPr="00775B06">
                    <w:rPr>
                      <w:rFonts w:cs="Arial"/>
                      <w:sz w:val="16"/>
                      <w:szCs w:val="16"/>
                    </w:rPr>
                    <w:t xml:space="preserve"> a </w:t>
                  </w:r>
                  <w:r w:rsidRPr="00775B06">
                    <w:rPr>
                      <w:rFonts w:cs="Arial"/>
                      <w:sz w:val="16"/>
                      <w:szCs w:val="16"/>
                    </w:rPr>
                    <w:t>17 años (</w:t>
                  </w:r>
                  <w:r w:rsidR="001D2D24" w:rsidRPr="00775B06">
                    <w:rPr>
                      <w:rFonts w:cs="Arial"/>
                      <w:sz w:val="16"/>
                      <w:szCs w:val="16"/>
                    </w:rPr>
                    <w:t xml:space="preserve">edad </w:t>
                  </w:r>
                  <w:r w:rsidR="00F02530" w:rsidRPr="00775B06">
                    <w:rPr>
                      <w:rFonts w:cs="Arial"/>
                      <w:sz w:val="16"/>
                      <w:szCs w:val="16"/>
                    </w:rPr>
                    <w:t>idónea</w:t>
                  </w:r>
                  <w:r w:rsidR="001D2D24" w:rsidRPr="00775B06">
                    <w:rPr>
                      <w:rFonts w:cs="Arial"/>
                      <w:sz w:val="16"/>
                      <w:szCs w:val="16"/>
                    </w:rPr>
                    <w:t xml:space="preserve"> de </w:t>
                  </w:r>
                  <w:r w:rsidR="008C3BE8" w:rsidRPr="00775B06">
                    <w:rPr>
                      <w:rFonts w:cs="Arial"/>
                      <w:sz w:val="16"/>
                      <w:szCs w:val="16"/>
                    </w:rPr>
                    <w:t xml:space="preserve">educación </w:t>
                  </w:r>
                  <w:r w:rsidR="001D2D24" w:rsidRPr="00775B06">
                    <w:rPr>
                      <w:rFonts w:cs="Arial"/>
                      <w:sz w:val="16"/>
                      <w:szCs w:val="16"/>
                    </w:rPr>
                    <w:t>media superior)</w:t>
                  </w:r>
                  <w:r w:rsidR="00412CC0" w:rsidRPr="00775B06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1D2D24" w:rsidRPr="00775B06">
                    <w:rPr>
                      <w:rFonts w:cs="Arial"/>
                      <w:sz w:val="16"/>
                      <w:szCs w:val="16"/>
                    </w:rPr>
                    <w:t>y</w:t>
                  </w:r>
                  <w:r w:rsidRPr="00775B06">
                    <w:rPr>
                      <w:rFonts w:cs="Arial"/>
                      <w:sz w:val="16"/>
                      <w:szCs w:val="16"/>
                    </w:rPr>
                    <w:t xml:space="preserve"> 15</w:t>
                  </w:r>
                  <w:r w:rsidR="00F30EDF" w:rsidRPr="00775B06">
                    <w:rPr>
                      <w:rFonts w:cs="Arial"/>
                      <w:sz w:val="16"/>
                      <w:szCs w:val="16"/>
                    </w:rPr>
                    <w:t xml:space="preserve"> o </w:t>
                  </w:r>
                  <w:r w:rsidRPr="00775B06">
                    <w:rPr>
                      <w:rFonts w:cs="Arial"/>
                      <w:sz w:val="16"/>
                      <w:szCs w:val="16"/>
                    </w:rPr>
                    <w:t xml:space="preserve">más </w:t>
                  </w:r>
                  <w:r w:rsidR="00FE59FD" w:rsidRPr="00775B06">
                    <w:rPr>
                      <w:rFonts w:cs="Arial"/>
                      <w:sz w:val="16"/>
                      <w:szCs w:val="16"/>
                    </w:rPr>
                    <w:t xml:space="preserve">años </w:t>
                  </w:r>
                  <w:r w:rsidRPr="00775B06">
                    <w:rPr>
                      <w:rFonts w:cs="Arial"/>
                      <w:sz w:val="16"/>
                      <w:szCs w:val="16"/>
                    </w:rPr>
                    <w:t>(educación para adultos</w:t>
                  </w:r>
                  <w:r w:rsidR="00C34022" w:rsidRPr="00775B06">
                    <w:rPr>
                      <w:rFonts w:cs="Arial"/>
                      <w:sz w:val="16"/>
                      <w:szCs w:val="16"/>
                    </w:rPr>
                    <w:t>)</w:t>
                  </w:r>
                  <w:r w:rsidR="000C00F6" w:rsidRPr="00775B06">
                    <w:rPr>
                      <w:rFonts w:cs="Arial"/>
                      <w:sz w:val="16"/>
                      <w:szCs w:val="16"/>
                    </w:rPr>
                    <w:t>;</w:t>
                  </w:r>
                  <w:r w:rsidR="00C34022" w:rsidRPr="00775B06">
                    <w:rPr>
                      <w:rFonts w:cs="Arial"/>
                      <w:sz w:val="16"/>
                      <w:szCs w:val="16"/>
                      <w:vertAlign w:val="superscript"/>
                    </w:rPr>
                    <w:t>1</w:t>
                  </w:r>
                  <w:r w:rsidR="000F39DC" w:rsidRPr="00775B06">
                    <w:rPr>
                      <w:rFonts w:cs="Arial"/>
                      <w:sz w:val="16"/>
                      <w:szCs w:val="16"/>
                    </w:rPr>
                    <w:t xml:space="preserve"> se incluye el grupo de edad 18 a 24 </w:t>
                  </w:r>
                  <w:r w:rsidR="000C00F6" w:rsidRPr="00775B06">
                    <w:rPr>
                      <w:rFonts w:cs="Arial"/>
                      <w:sz w:val="16"/>
                      <w:szCs w:val="16"/>
                    </w:rPr>
                    <w:t xml:space="preserve">años </w:t>
                  </w:r>
                  <w:r w:rsidR="000F39DC" w:rsidRPr="00775B06">
                    <w:rPr>
                      <w:rFonts w:cs="Arial"/>
                      <w:sz w:val="16"/>
                      <w:szCs w:val="16"/>
                    </w:rPr>
                    <w:t>como información complementaria</w:t>
                  </w:r>
                  <w:r w:rsidRPr="00775B06"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811E62" w:rsidRPr="00775B06" w14:paraId="580C518B" w14:textId="77777777" w:rsidTr="00011983">
              <w:trPr>
                <w:trHeight w:val="174"/>
              </w:trPr>
              <w:tc>
                <w:tcPr>
                  <w:tcW w:w="751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86FB6E" w14:textId="77777777" w:rsidR="00811E62" w:rsidRPr="00775B06" w:rsidRDefault="00D15B1D" w:rsidP="00011983">
                  <w:pPr>
                    <w:ind w:right="-70"/>
                    <w:jc w:val="right"/>
                    <w:rPr>
                      <w:rFonts w:cs="Arial"/>
                      <w:b/>
                      <w:i/>
                      <w:sz w:val="16"/>
                      <w:szCs w:val="16"/>
                      <w:lang w:val="en-US"/>
                    </w:rPr>
                  </w:pPr>
                  <w:proofErr w:type="spellStart"/>
                  <w:proofErr w:type="gramStart"/>
                  <w:r w:rsidRPr="00775B06">
                    <w:rPr>
                      <w:rFonts w:cs="Arial"/>
                      <w:i/>
                      <w:sz w:val="20"/>
                      <w:szCs w:val="20"/>
                      <w:lang w:val="en-US"/>
                    </w:rPr>
                    <w:t>P</w:t>
                  </w:r>
                  <w:r w:rsidR="00011983" w:rsidRPr="00775B06">
                    <w:rPr>
                      <w:rFonts w:cs="Arial"/>
                      <w:i/>
                      <w:sz w:val="20"/>
                      <w:szCs w:val="20"/>
                      <w:lang w:val="en-US"/>
                    </w:rPr>
                    <w:t>A</w:t>
                  </w:r>
                  <w:r w:rsidR="00011983" w:rsidRPr="00775B06">
                    <w:rPr>
                      <w:rFonts w:cs="Arial"/>
                      <w:i/>
                      <w:sz w:val="20"/>
                      <w:szCs w:val="20"/>
                      <w:vertAlign w:val="subscript"/>
                      <w:lang w:val="en-US"/>
                    </w:rPr>
                    <w:t>s</w:t>
                  </w:r>
                  <w:r w:rsidRPr="00775B06">
                    <w:rPr>
                      <w:rFonts w:cs="Arial"/>
                      <w:i/>
                      <w:sz w:val="20"/>
                      <w:szCs w:val="20"/>
                      <w:vertAlign w:val="subscript"/>
                      <w:lang w:val="en-US"/>
                    </w:rPr>
                    <w:t>,ge</w:t>
                  </w:r>
                  <w:proofErr w:type="spellEnd"/>
                  <w:proofErr w:type="gramEnd"/>
                </w:p>
              </w:tc>
              <w:tc>
                <w:tcPr>
                  <w:tcW w:w="424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19687990" w14:textId="4D53C89B" w:rsidR="00811E62" w:rsidRPr="00775B06" w:rsidRDefault="00011983" w:rsidP="00011983">
                  <w:pPr>
                    <w:ind w:right="-70"/>
                    <w:rPr>
                      <w:rFonts w:cs="Arial"/>
                      <w:sz w:val="16"/>
                      <w:szCs w:val="16"/>
                    </w:rPr>
                  </w:pPr>
                  <w:r w:rsidRPr="00775B06">
                    <w:rPr>
                      <w:rFonts w:cs="Arial"/>
                      <w:sz w:val="16"/>
                      <w:szCs w:val="16"/>
                      <w:lang w:val="es-MX"/>
                    </w:rPr>
                    <w:t>P</w:t>
                  </w:r>
                  <w:r w:rsidRPr="00775B06">
                    <w:rPr>
                      <w:rFonts w:cs="Arial"/>
                      <w:sz w:val="16"/>
                      <w:szCs w:val="16"/>
                    </w:rPr>
                    <w:t xml:space="preserve">oblación con el antecedente para estudiar en el </w:t>
                  </w:r>
                  <w:r w:rsidR="001F560D" w:rsidRPr="00775B06">
                    <w:rPr>
                      <w:rFonts w:cs="Arial"/>
                      <w:sz w:val="16"/>
                      <w:szCs w:val="16"/>
                    </w:rPr>
                    <w:t>sub</w:t>
                  </w:r>
                  <w:r w:rsidRPr="00775B06">
                    <w:rPr>
                      <w:rFonts w:cs="Arial"/>
                      <w:sz w:val="16"/>
                      <w:szCs w:val="16"/>
                    </w:rPr>
                    <w:t xml:space="preserve">sistema educativo </w:t>
                  </w:r>
                  <w:r w:rsidRPr="00775B06">
                    <w:rPr>
                      <w:rFonts w:cs="Arial"/>
                      <w:i/>
                      <w:sz w:val="16"/>
                      <w:szCs w:val="16"/>
                    </w:rPr>
                    <w:t>s</w:t>
                  </w:r>
                  <w:r w:rsidRPr="00775B06">
                    <w:rPr>
                      <w:rFonts w:cs="Arial"/>
                      <w:sz w:val="16"/>
                      <w:szCs w:val="16"/>
                    </w:rPr>
                    <w:t>, en</w:t>
                  </w:r>
                  <w:r w:rsidR="00D0543B" w:rsidRPr="00775B06">
                    <w:rPr>
                      <w:rFonts w:cs="Arial"/>
                      <w:sz w:val="16"/>
                      <w:szCs w:val="16"/>
                    </w:rPr>
                    <w:t xml:space="preserve"> el</w:t>
                  </w:r>
                  <w:r w:rsidRPr="00775B06">
                    <w:rPr>
                      <w:rFonts w:cs="Arial"/>
                      <w:sz w:val="16"/>
                      <w:szCs w:val="16"/>
                    </w:rPr>
                    <w:t xml:space="preserve"> grupo de edad </w:t>
                  </w:r>
                  <w:r w:rsidRPr="00775B06">
                    <w:rPr>
                      <w:rFonts w:cs="Arial"/>
                      <w:i/>
                      <w:sz w:val="16"/>
                      <w:szCs w:val="16"/>
                    </w:rPr>
                    <w:t>ge</w:t>
                  </w:r>
                  <w:r w:rsidR="00CA711A" w:rsidRPr="00775B06"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811E62" w:rsidRPr="00775B06" w14:paraId="41F903DD" w14:textId="77777777" w:rsidTr="00011983">
              <w:trPr>
                <w:trHeight w:val="174"/>
              </w:trPr>
              <w:tc>
                <w:tcPr>
                  <w:tcW w:w="751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A11F3B" w14:textId="77777777" w:rsidR="00811E62" w:rsidRPr="00775B06" w:rsidRDefault="00D15B1D" w:rsidP="00011983">
                  <w:pPr>
                    <w:ind w:right="-70"/>
                    <w:jc w:val="right"/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</w:pPr>
                  <w:proofErr w:type="spellStart"/>
                  <w:r w:rsidRPr="00775B06">
                    <w:rPr>
                      <w:rFonts w:cs="Arial"/>
                      <w:i/>
                      <w:sz w:val="20"/>
                      <w:szCs w:val="20"/>
                      <w:lang w:val="en-US"/>
                    </w:rPr>
                    <w:t>P</w:t>
                  </w:r>
                  <w:r w:rsidRPr="00775B06">
                    <w:rPr>
                      <w:rFonts w:cs="Arial"/>
                      <w:i/>
                      <w:sz w:val="20"/>
                      <w:szCs w:val="20"/>
                      <w:vertAlign w:val="subscript"/>
                      <w:lang w:val="en-US"/>
                    </w:rPr>
                    <w:t>ge</w:t>
                  </w:r>
                  <w:proofErr w:type="spellEnd"/>
                </w:p>
              </w:tc>
              <w:tc>
                <w:tcPr>
                  <w:tcW w:w="424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1F37FD31" w14:textId="77777777" w:rsidR="00811E62" w:rsidRPr="00775B06" w:rsidRDefault="00811E62" w:rsidP="006F591F">
                  <w:pPr>
                    <w:ind w:right="-70"/>
                    <w:rPr>
                      <w:rFonts w:cs="Arial"/>
                      <w:sz w:val="16"/>
                      <w:szCs w:val="16"/>
                    </w:rPr>
                  </w:pPr>
                  <w:r w:rsidRPr="00775B06">
                    <w:rPr>
                      <w:rFonts w:cs="Arial"/>
                      <w:sz w:val="16"/>
                      <w:szCs w:val="16"/>
                    </w:rPr>
                    <w:t xml:space="preserve">Población en el grupo de edad </w:t>
                  </w:r>
                  <w:r w:rsidRPr="00775B06">
                    <w:rPr>
                      <w:rFonts w:cs="Arial"/>
                      <w:i/>
                      <w:sz w:val="16"/>
                      <w:szCs w:val="16"/>
                    </w:rPr>
                    <w:t>ge</w:t>
                  </w:r>
                  <w:r w:rsidRPr="00775B06">
                    <w:rPr>
                      <w:rFonts w:cs="Arial"/>
                      <w:sz w:val="16"/>
                      <w:szCs w:val="16"/>
                    </w:rPr>
                    <w:t xml:space="preserve">. </w:t>
                  </w:r>
                </w:p>
              </w:tc>
            </w:tr>
          </w:tbl>
          <w:p w14:paraId="0915FE92" w14:textId="77777777" w:rsidR="00811E62" w:rsidRPr="00775B06" w:rsidRDefault="00811E62" w:rsidP="00A11EFB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811E62" w:rsidRPr="00E21DBE" w14:paraId="26929B5A" w14:textId="77777777" w:rsidTr="00C35B0E">
        <w:trPr>
          <w:trHeight w:val="1958"/>
          <w:jc w:val="center"/>
        </w:trPr>
        <w:tc>
          <w:tcPr>
            <w:tcW w:w="9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7A329" w14:textId="77777777" w:rsidR="009D0F19" w:rsidRPr="00775B06" w:rsidRDefault="009D0F19" w:rsidP="009D0F19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775B06">
              <w:rPr>
                <w:rFonts w:cs="Arial"/>
                <w:b/>
                <w:sz w:val="16"/>
                <w:szCs w:val="16"/>
              </w:rPr>
              <w:t xml:space="preserve">Interpretación </w:t>
            </w:r>
          </w:p>
          <w:p w14:paraId="5DEB4A6A" w14:textId="7026E74B" w:rsidR="00811E62" w:rsidRPr="00775B06" w:rsidRDefault="009D0F19" w:rsidP="00F02ABB">
            <w:pPr>
              <w:jc w:val="both"/>
              <w:rPr>
                <w:rFonts w:cs="Arial"/>
                <w:sz w:val="16"/>
                <w:szCs w:val="16"/>
              </w:rPr>
            </w:pPr>
            <w:r w:rsidRPr="00775B06">
              <w:rPr>
                <w:rFonts w:cs="Arial"/>
                <w:sz w:val="16"/>
                <w:szCs w:val="16"/>
              </w:rPr>
              <w:t>Representa la proporción de la población atendible en los niveles de educación secundaria, media superior y para adultos en cada grupo de edad. Un porcentaje de población atendible en ed</w:t>
            </w:r>
            <w:r w:rsidR="00A158F4" w:rsidRPr="00775B06">
              <w:rPr>
                <w:rFonts w:cs="Arial"/>
                <w:sz w:val="16"/>
                <w:szCs w:val="16"/>
              </w:rPr>
              <w:t>ucación secundaria cercano a cien</w:t>
            </w:r>
            <w:r w:rsidRPr="00775B06">
              <w:rPr>
                <w:rFonts w:cs="Arial"/>
                <w:sz w:val="16"/>
                <w:szCs w:val="16"/>
              </w:rPr>
              <w:t xml:space="preserve"> significa que casi todos los niños en edad </w:t>
            </w:r>
            <w:r w:rsidR="003A5648" w:rsidRPr="00775B06">
              <w:rPr>
                <w:rFonts w:cs="Arial"/>
                <w:sz w:val="16"/>
                <w:szCs w:val="16"/>
              </w:rPr>
              <w:t>idónea</w:t>
            </w:r>
            <w:r w:rsidRPr="00775B06">
              <w:rPr>
                <w:rFonts w:cs="Arial"/>
                <w:sz w:val="16"/>
                <w:szCs w:val="16"/>
              </w:rPr>
              <w:t xml:space="preserve"> tienen cubierto el prerrequisito para estudiar dicho nivel educativo. Un porcentaje el</w:t>
            </w:r>
            <w:r w:rsidR="00DC6883" w:rsidRPr="00775B06">
              <w:rPr>
                <w:rFonts w:cs="Arial"/>
                <w:sz w:val="16"/>
                <w:szCs w:val="16"/>
              </w:rPr>
              <w:t xml:space="preserve">evado de población atendible en educación media superior </w:t>
            </w:r>
            <w:r w:rsidR="00A158F4" w:rsidRPr="00775B06">
              <w:rPr>
                <w:rFonts w:cs="Arial"/>
                <w:sz w:val="16"/>
                <w:szCs w:val="16"/>
              </w:rPr>
              <w:t>denota</w:t>
            </w:r>
            <w:r w:rsidRPr="00775B06">
              <w:rPr>
                <w:rFonts w:cs="Arial"/>
                <w:sz w:val="16"/>
                <w:szCs w:val="16"/>
              </w:rPr>
              <w:t xml:space="preserve"> que buena parte de los jóvenes han completado la educación básica </w:t>
            </w:r>
            <w:r w:rsidR="00F02ABB" w:rsidRPr="00775B06">
              <w:rPr>
                <w:rFonts w:cs="Arial"/>
                <w:sz w:val="16"/>
                <w:szCs w:val="16"/>
              </w:rPr>
              <w:t xml:space="preserve">en </w:t>
            </w:r>
            <w:r w:rsidRPr="00775B06">
              <w:rPr>
                <w:rFonts w:cs="Arial"/>
                <w:sz w:val="16"/>
                <w:szCs w:val="16"/>
              </w:rPr>
              <w:t xml:space="preserve">la edad </w:t>
            </w:r>
            <w:r w:rsidR="00AD08D8" w:rsidRPr="00775B06">
              <w:rPr>
                <w:rFonts w:cs="Arial"/>
                <w:sz w:val="16"/>
                <w:szCs w:val="16"/>
              </w:rPr>
              <w:t xml:space="preserve">idónea </w:t>
            </w:r>
            <w:r w:rsidRPr="00775B06">
              <w:rPr>
                <w:rFonts w:cs="Arial"/>
                <w:sz w:val="16"/>
                <w:szCs w:val="16"/>
              </w:rPr>
              <w:t xml:space="preserve">y, por </w:t>
            </w:r>
            <w:r w:rsidR="00B462F3" w:rsidRPr="00775B06">
              <w:rPr>
                <w:rFonts w:cs="Arial"/>
                <w:sz w:val="16"/>
                <w:szCs w:val="16"/>
              </w:rPr>
              <w:t xml:space="preserve">lo </w:t>
            </w:r>
            <w:r w:rsidRPr="00775B06">
              <w:rPr>
                <w:rFonts w:cs="Arial"/>
                <w:sz w:val="16"/>
                <w:szCs w:val="16"/>
              </w:rPr>
              <w:t xml:space="preserve">tanto, está en condiciones de seguir estudiando en alguna de las opciones educativas de educación media superior. Asimismo, la proporción de población atendible por el </w:t>
            </w:r>
            <w:r w:rsidR="001F560D" w:rsidRPr="00775B06">
              <w:rPr>
                <w:rFonts w:cs="Arial"/>
                <w:sz w:val="16"/>
                <w:szCs w:val="16"/>
              </w:rPr>
              <w:t>sub</w:t>
            </w:r>
            <w:r w:rsidRPr="00775B06">
              <w:rPr>
                <w:rFonts w:cs="Arial"/>
                <w:sz w:val="16"/>
                <w:szCs w:val="16"/>
              </w:rPr>
              <w:t>sistema de educación para adultos representa el tamaño del rezago en la escolarización de la población de 15 años</w:t>
            </w:r>
            <w:r w:rsidR="00A158F4" w:rsidRPr="00775B06">
              <w:rPr>
                <w:rFonts w:cs="Arial"/>
                <w:sz w:val="16"/>
                <w:szCs w:val="16"/>
              </w:rPr>
              <w:t xml:space="preserve"> </w:t>
            </w:r>
            <w:r w:rsidRPr="00775B06">
              <w:rPr>
                <w:rFonts w:cs="Arial"/>
                <w:sz w:val="16"/>
                <w:szCs w:val="16"/>
              </w:rPr>
              <w:t xml:space="preserve">o más </w:t>
            </w:r>
            <w:r w:rsidR="003A16A4" w:rsidRPr="00775B06">
              <w:rPr>
                <w:rFonts w:cs="Arial"/>
                <w:sz w:val="16"/>
                <w:szCs w:val="16"/>
              </w:rPr>
              <w:t xml:space="preserve">de edad </w:t>
            </w:r>
            <w:r w:rsidRPr="00775B06">
              <w:rPr>
                <w:rFonts w:cs="Arial"/>
                <w:sz w:val="16"/>
                <w:szCs w:val="16"/>
              </w:rPr>
              <w:t xml:space="preserve">(población que no tiene la educación básica completa); esta proporción disminuirá a medida que más personas terminen el ciclo de educación básica en </w:t>
            </w:r>
            <w:r w:rsidR="00485331" w:rsidRPr="00775B06">
              <w:rPr>
                <w:rFonts w:cs="Arial"/>
                <w:sz w:val="16"/>
                <w:szCs w:val="16"/>
              </w:rPr>
              <w:t xml:space="preserve">la </w:t>
            </w:r>
            <w:r w:rsidRPr="00775B06">
              <w:rPr>
                <w:rFonts w:cs="Arial"/>
                <w:sz w:val="16"/>
                <w:szCs w:val="16"/>
              </w:rPr>
              <w:t xml:space="preserve">edad </w:t>
            </w:r>
            <w:r w:rsidR="003A5648" w:rsidRPr="00775B06">
              <w:rPr>
                <w:rFonts w:cs="Arial"/>
                <w:sz w:val="16"/>
                <w:szCs w:val="16"/>
              </w:rPr>
              <w:t>idónea</w:t>
            </w:r>
            <w:r w:rsidRPr="00775B06">
              <w:rPr>
                <w:rFonts w:cs="Arial"/>
                <w:sz w:val="16"/>
                <w:szCs w:val="16"/>
              </w:rPr>
              <w:t>.</w:t>
            </w:r>
            <w:r w:rsidR="000F39DC" w:rsidRPr="00775B06">
              <w:rPr>
                <w:rFonts w:cs="Arial"/>
                <w:sz w:val="16"/>
                <w:szCs w:val="16"/>
              </w:rPr>
              <w:t xml:space="preserve"> Además, </w:t>
            </w:r>
            <w:r w:rsidR="00691E7A" w:rsidRPr="00775B06">
              <w:rPr>
                <w:rFonts w:cs="Arial"/>
                <w:sz w:val="16"/>
                <w:szCs w:val="16"/>
              </w:rPr>
              <w:t>en el contexto de</w:t>
            </w:r>
            <w:r w:rsidR="000F39DC" w:rsidRPr="00775B06">
              <w:rPr>
                <w:rFonts w:cs="Arial"/>
                <w:sz w:val="16"/>
                <w:szCs w:val="16"/>
              </w:rPr>
              <w:t xml:space="preserve"> la actual modificación constitucional en materia educativa, la proporción de la población atendible en educación superior da una idea </w:t>
            </w:r>
            <w:r w:rsidR="00691E7A" w:rsidRPr="00775B06">
              <w:rPr>
                <w:rFonts w:cs="Arial"/>
                <w:sz w:val="16"/>
                <w:szCs w:val="16"/>
              </w:rPr>
              <w:t>del tamaño de la demanda que enfrentará este subsistema en el corto plazo dada su obligatoriedad</w:t>
            </w:r>
            <w:r w:rsidR="00031564" w:rsidRPr="00775B06">
              <w:rPr>
                <w:rFonts w:cs="Arial"/>
                <w:sz w:val="16"/>
                <w:szCs w:val="16"/>
              </w:rPr>
              <w:t xml:space="preserve"> (CPEUM, 2019, 15 de mayo)</w:t>
            </w:r>
            <w:r w:rsidR="00691E7A" w:rsidRPr="00775B06">
              <w:rPr>
                <w:rFonts w:cs="Arial"/>
                <w:sz w:val="16"/>
                <w:szCs w:val="16"/>
              </w:rPr>
              <w:t>.</w:t>
            </w:r>
          </w:p>
        </w:tc>
      </w:tr>
      <w:tr w:rsidR="00811E62" w:rsidRPr="00E21DBE" w14:paraId="4E2E533A" w14:textId="77777777" w:rsidTr="00C35B0E">
        <w:trPr>
          <w:trHeight w:val="711"/>
          <w:jc w:val="center"/>
        </w:trPr>
        <w:tc>
          <w:tcPr>
            <w:tcW w:w="9586" w:type="dxa"/>
            <w:tcBorders>
              <w:top w:val="single" w:sz="4" w:space="0" w:color="auto"/>
              <w:bottom w:val="single" w:sz="4" w:space="0" w:color="auto"/>
            </w:tcBorders>
          </w:tcPr>
          <w:p w14:paraId="615E932D" w14:textId="77777777" w:rsidR="00811E62" w:rsidRPr="00775B06" w:rsidRDefault="00811E62" w:rsidP="00A11EFB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775B06">
              <w:rPr>
                <w:rFonts w:cs="Arial"/>
                <w:b/>
                <w:sz w:val="16"/>
                <w:szCs w:val="16"/>
              </w:rPr>
              <w:t>Utilidad</w:t>
            </w:r>
          </w:p>
          <w:p w14:paraId="04410A21" w14:textId="284AC0FB" w:rsidR="00811E62" w:rsidRPr="00775B06" w:rsidRDefault="00FC2BA7" w:rsidP="00487A47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775B06">
              <w:rPr>
                <w:rFonts w:cs="Arial"/>
                <w:sz w:val="16"/>
                <w:szCs w:val="16"/>
              </w:rPr>
              <w:t>Dimensiona</w:t>
            </w:r>
            <w:r w:rsidR="00811E62" w:rsidRPr="00775B06">
              <w:rPr>
                <w:rFonts w:cs="Arial"/>
                <w:sz w:val="16"/>
                <w:szCs w:val="16"/>
              </w:rPr>
              <w:t xml:space="preserve"> </w:t>
            </w:r>
            <w:r w:rsidRPr="00775B06">
              <w:rPr>
                <w:rFonts w:cs="Arial"/>
                <w:sz w:val="16"/>
                <w:szCs w:val="16"/>
              </w:rPr>
              <w:t xml:space="preserve">el </w:t>
            </w:r>
            <w:r w:rsidR="00BF478E" w:rsidRPr="00775B06">
              <w:rPr>
                <w:rFonts w:cs="Arial"/>
                <w:sz w:val="16"/>
                <w:szCs w:val="16"/>
              </w:rPr>
              <w:t>volumen</w:t>
            </w:r>
            <w:r w:rsidR="00444A21" w:rsidRPr="00775B06">
              <w:rPr>
                <w:rFonts w:cs="Arial"/>
                <w:sz w:val="16"/>
                <w:szCs w:val="16"/>
              </w:rPr>
              <w:t xml:space="preserve"> </w:t>
            </w:r>
            <w:r w:rsidRPr="00775B06">
              <w:rPr>
                <w:rFonts w:cs="Arial"/>
                <w:sz w:val="16"/>
                <w:szCs w:val="16"/>
              </w:rPr>
              <w:t xml:space="preserve">relativo </w:t>
            </w:r>
            <w:r w:rsidR="00444A21" w:rsidRPr="00775B06">
              <w:rPr>
                <w:rFonts w:cs="Arial"/>
                <w:sz w:val="16"/>
                <w:szCs w:val="16"/>
              </w:rPr>
              <w:t xml:space="preserve">de niños </w:t>
            </w:r>
            <w:r w:rsidR="006852DB" w:rsidRPr="00775B06">
              <w:rPr>
                <w:rFonts w:cs="Arial"/>
                <w:sz w:val="16"/>
                <w:szCs w:val="16"/>
              </w:rPr>
              <w:t xml:space="preserve">y jóvenes </w:t>
            </w:r>
            <w:r w:rsidR="00444A21" w:rsidRPr="00775B06">
              <w:rPr>
                <w:rFonts w:cs="Arial"/>
                <w:sz w:val="16"/>
                <w:szCs w:val="16"/>
              </w:rPr>
              <w:t>que la educación</w:t>
            </w:r>
            <w:r w:rsidR="00D26F50" w:rsidRPr="00775B06">
              <w:rPr>
                <w:rFonts w:cs="Arial"/>
                <w:sz w:val="16"/>
                <w:szCs w:val="16"/>
              </w:rPr>
              <w:t xml:space="preserve"> secundaria</w:t>
            </w:r>
            <w:r w:rsidR="00031564" w:rsidRPr="00775B06">
              <w:rPr>
                <w:rFonts w:cs="Arial"/>
                <w:sz w:val="16"/>
                <w:szCs w:val="16"/>
              </w:rPr>
              <w:t>,</w:t>
            </w:r>
            <w:r w:rsidR="00BF478E" w:rsidRPr="00775B06">
              <w:rPr>
                <w:rFonts w:cs="Arial"/>
                <w:sz w:val="16"/>
                <w:szCs w:val="16"/>
              </w:rPr>
              <w:t xml:space="preserve"> </w:t>
            </w:r>
            <w:r w:rsidR="006852DB" w:rsidRPr="00775B06">
              <w:rPr>
                <w:rFonts w:cs="Arial"/>
                <w:sz w:val="16"/>
                <w:szCs w:val="16"/>
              </w:rPr>
              <w:t>media superior</w:t>
            </w:r>
            <w:r w:rsidR="00031564" w:rsidRPr="00775B06">
              <w:rPr>
                <w:rFonts w:cs="Arial"/>
                <w:sz w:val="16"/>
                <w:szCs w:val="16"/>
              </w:rPr>
              <w:t xml:space="preserve"> y superior</w:t>
            </w:r>
            <w:r w:rsidR="006852DB" w:rsidRPr="00775B06">
              <w:rPr>
                <w:rFonts w:cs="Arial"/>
                <w:sz w:val="16"/>
                <w:szCs w:val="16"/>
              </w:rPr>
              <w:t xml:space="preserve"> deberían</w:t>
            </w:r>
            <w:r w:rsidR="00BF478E" w:rsidRPr="00775B06">
              <w:rPr>
                <w:rFonts w:cs="Arial"/>
                <w:sz w:val="16"/>
                <w:szCs w:val="16"/>
              </w:rPr>
              <w:t xml:space="preserve"> </w:t>
            </w:r>
            <w:r w:rsidR="00CB0B28" w:rsidRPr="00775B06">
              <w:rPr>
                <w:rFonts w:cs="Arial"/>
                <w:sz w:val="16"/>
                <w:szCs w:val="16"/>
              </w:rPr>
              <w:t>absorber</w:t>
            </w:r>
            <w:r w:rsidRPr="00775B06">
              <w:rPr>
                <w:rFonts w:cs="Arial"/>
                <w:sz w:val="16"/>
                <w:szCs w:val="16"/>
              </w:rPr>
              <w:t>,</w:t>
            </w:r>
            <w:r w:rsidR="00444A21" w:rsidRPr="00775B06">
              <w:rPr>
                <w:rFonts w:cs="Arial"/>
                <w:sz w:val="16"/>
                <w:szCs w:val="16"/>
              </w:rPr>
              <w:t xml:space="preserve"> </w:t>
            </w:r>
            <w:r w:rsidR="006852DB" w:rsidRPr="00775B06">
              <w:rPr>
                <w:rFonts w:cs="Arial"/>
                <w:sz w:val="16"/>
                <w:szCs w:val="16"/>
              </w:rPr>
              <w:t xml:space="preserve">dado que cumplen con los prerrequisitos correspondientes. </w:t>
            </w:r>
          </w:p>
        </w:tc>
      </w:tr>
      <w:tr w:rsidR="00811E62" w:rsidRPr="00E21DBE" w14:paraId="041C9677" w14:textId="77777777" w:rsidTr="00E21DBE">
        <w:trPr>
          <w:trHeight w:val="1550"/>
          <w:jc w:val="center"/>
        </w:trPr>
        <w:tc>
          <w:tcPr>
            <w:tcW w:w="9586" w:type="dxa"/>
            <w:tcBorders>
              <w:top w:val="single" w:sz="4" w:space="0" w:color="auto"/>
              <w:bottom w:val="single" w:sz="4" w:space="0" w:color="auto"/>
            </w:tcBorders>
          </w:tcPr>
          <w:p w14:paraId="623BBD99" w14:textId="77777777" w:rsidR="009D0F19" w:rsidRPr="00775B06" w:rsidRDefault="009D0F19" w:rsidP="009D0F19">
            <w:pPr>
              <w:rPr>
                <w:rFonts w:cs="Arial"/>
                <w:b/>
                <w:sz w:val="16"/>
                <w:szCs w:val="16"/>
              </w:rPr>
            </w:pPr>
            <w:r w:rsidRPr="00775B06">
              <w:rPr>
                <w:rFonts w:cs="Arial"/>
                <w:b/>
                <w:sz w:val="16"/>
                <w:szCs w:val="16"/>
              </w:rPr>
              <w:t>Desagregación</w:t>
            </w:r>
          </w:p>
          <w:p w14:paraId="28E57525" w14:textId="7FB4AC75" w:rsidR="009D0F19" w:rsidRPr="00775B06" w:rsidRDefault="009D0F19" w:rsidP="009D0F19">
            <w:pPr>
              <w:jc w:val="both"/>
              <w:rPr>
                <w:rFonts w:cs="Arial"/>
                <w:sz w:val="16"/>
                <w:szCs w:val="16"/>
              </w:rPr>
            </w:pPr>
            <w:r w:rsidRPr="00775B06">
              <w:rPr>
                <w:rFonts w:cs="Arial"/>
                <w:sz w:val="16"/>
                <w:szCs w:val="16"/>
              </w:rPr>
              <w:t>Subpoblaciones seleccionadas:</w:t>
            </w:r>
            <w:r w:rsidRPr="00775B0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775B06">
              <w:rPr>
                <w:rFonts w:cs="Arial"/>
                <w:sz w:val="16"/>
                <w:szCs w:val="16"/>
              </w:rPr>
              <w:t xml:space="preserve"> sexo</w:t>
            </w:r>
            <w:r w:rsidR="005C3CC5" w:rsidRPr="00775B06">
              <w:rPr>
                <w:rFonts w:cs="Arial"/>
                <w:sz w:val="16"/>
                <w:szCs w:val="16"/>
              </w:rPr>
              <w:t xml:space="preserve"> (hombres y mujeres)</w:t>
            </w:r>
            <w:r w:rsidRPr="00775B06">
              <w:rPr>
                <w:rFonts w:cs="Arial"/>
                <w:sz w:val="16"/>
                <w:szCs w:val="16"/>
              </w:rPr>
              <w:t xml:space="preserve">, tamaño de localidad (rural, semiurbana y urbana), </w:t>
            </w:r>
            <w:r w:rsidR="00D8498C" w:rsidRPr="00775B06">
              <w:rPr>
                <w:rFonts w:cs="Arial"/>
                <w:sz w:val="16"/>
                <w:szCs w:val="16"/>
              </w:rPr>
              <w:t>condición</w:t>
            </w:r>
            <w:r w:rsidR="003B48FA" w:rsidRPr="00775B06">
              <w:rPr>
                <w:rFonts w:cs="Arial"/>
                <w:sz w:val="16"/>
                <w:szCs w:val="16"/>
              </w:rPr>
              <w:t xml:space="preserve"> </w:t>
            </w:r>
            <w:r w:rsidR="00D8498C" w:rsidRPr="00775B06">
              <w:rPr>
                <w:rFonts w:cs="Arial"/>
                <w:sz w:val="16"/>
                <w:szCs w:val="16"/>
              </w:rPr>
              <w:t>ét</w:t>
            </w:r>
            <w:r w:rsidR="003B48FA" w:rsidRPr="00775B06">
              <w:rPr>
                <w:rFonts w:cs="Arial"/>
                <w:sz w:val="16"/>
                <w:szCs w:val="16"/>
              </w:rPr>
              <w:t>nica (</w:t>
            </w:r>
            <w:r w:rsidR="00D8498C" w:rsidRPr="00775B06">
              <w:rPr>
                <w:rFonts w:cs="Arial"/>
                <w:sz w:val="16"/>
                <w:szCs w:val="16"/>
              </w:rPr>
              <w:t>población indígena</w:t>
            </w:r>
            <w:r w:rsidR="005C3CC5" w:rsidRPr="00775B06">
              <w:rPr>
                <w:rFonts w:cs="Arial"/>
                <w:sz w:val="16"/>
                <w:szCs w:val="16"/>
                <w:vertAlign w:val="superscript"/>
              </w:rPr>
              <w:t>3</w:t>
            </w:r>
            <w:r w:rsidR="00D8498C" w:rsidRPr="00775B06">
              <w:rPr>
                <w:rFonts w:cs="Arial"/>
                <w:sz w:val="16"/>
                <w:szCs w:val="16"/>
              </w:rPr>
              <w:t xml:space="preserve"> y resto de la población</w:t>
            </w:r>
            <w:r w:rsidR="003B48FA" w:rsidRPr="00775B06">
              <w:rPr>
                <w:rFonts w:cs="Arial"/>
                <w:sz w:val="16"/>
                <w:szCs w:val="16"/>
              </w:rPr>
              <w:t>),</w:t>
            </w:r>
            <w:r w:rsidR="00F02530" w:rsidRPr="00775B06">
              <w:rPr>
                <w:rFonts w:cs="Arial"/>
                <w:sz w:val="16"/>
                <w:szCs w:val="16"/>
              </w:rPr>
              <w:t xml:space="preserve"> tipo de condición (con discapacidad</w:t>
            </w:r>
            <w:r w:rsidR="003614B9" w:rsidRPr="00775B06">
              <w:rPr>
                <w:rFonts w:cs="Arial"/>
                <w:sz w:val="16"/>
                <w:szCs w:val="16"/>
              </w:rPr>
              <w:t xml:space="preserve"> y</w:t>
            </w:r>
            <w:r w:rsidR="00F02530" w:rsidRPr="00775B06">
              <w:rPr>
                <w:rFonts w:cs="Arial"/>
                <w:sz w:val="16"/>
                <w:szCs w:val="16"/>
              </w:rPr>
              <w:t xml:space="preserve"> sin discapacidad),</w:t>
            </w:r>
            <w:r w:rsidRPr="00775B06">
              <w:rPr>
                <w:rFonts w:cs="Arial"/>
                <w:color w:val="FF0000"/>
                <w:sz w:val="16"/>
                <w:szCs w:val="16"/>
              </w:rPr>
              <w:t xml:space="preserve"> </w:t>
            </w:r>
            <w:r w:rsidRPr="00775B06">
              <w:rPr>
                <w:rFonts w:cs="Arial"/>
                <w:sz w:val="16"/>
                <w:szCs w:val="16"/>
              </w:rPr>
              <w:t>nivel de escolaridad del jefe de hogar</w:t>
            </w:r>
            <w:r w:rsidR="005C3CC5" w:rsidRPr="00775B06">
              <w:rPr>
                <w:rFonts w:cs="Arial"/>
                <w:sz w:val="16"/>
                <w:szCs w:val="16"/>
              </w:rPr>
              <w:t xml:space="preserve"> (sin instrucción, básica incompleta, básica completa, media superior y superior)</w:t>
            </w:r>
            <w:r w:rsidRPr="00775B06">
              <w:rPr>
                <w:rFonts w:cs="Arial"/>
                <w:sz w:val="16"/>
                <w:szCs w:val="16"/>
              </w:rPr>
              <w:t xml:space="preserve">, marginación (alta y baja), </w:t>
            </w:r>
            <w:r w:rsidR="00502A65" w:rsidRPr="00775B06">
              <w:rPr>
                <w:rFonts w:cs="Arial"/>
                <w:sz w:val="16"/>
                <w:szCs w:val="16"/>
              </w:rPr>
              <w:t>según ingreso respecto a la línea de bienestar mínimo</w:t>
            </w:r>
            <w:r w:rsidR="005C3CC5" w:rsidRPr="00775B06">
              <w:rPr>
                <w:rFonts w:cs="Arial"/>
                <w:sz w:val="16"/>
                <w:szCs w:val="16"/>
              </w:rPr>
              <w:t xml:space="preserve"> (inferior y superior o igual)</w:t>
            </w:r>
            <w:r w:rsidR="00502A65" w:rsidRPr="00775B06">
              <w:rPr>
                <w:rFonts w:cs="Arial"/>
                <w:sz w:val="16"/>
                <w:szCs w:val="16"/>
              </w:rPr>
              <w:t>, según ingreso respecto a la línea de bienestar</w:t>
            </w:r>
            <w:r w:rsidR="005C3CC5" w:rsidRPr="00775B06">
              <w:rPr>
                <w:rFonts w:cs="Arial"/>
                <w:sz w:val="16"/>
                <w:szCs w:val="16"/>
              </w:rPr>
              <w:t xml:space="preserve"> (inferior y superior o igual)</w:t>
            </w:r>
            <w:r w:rsidR="00502A65" w:rsidRPr="00775B06">
              <w:rPr>
                <w:rFonts w:cs="Arial"/>
                <w:sz w:val="16"/>
                <w:szCs w:val="16"/>
              </w:rPr>
              <w:t xml:space="preserve">, </w:t>
            </w:r>
            <w:r w:rsidRPr="00775B06">
              <w:rPr>
                <w:rFonts w:cs="Arial"/>
                <w:sz w:val="16"/>
                <w:szCs w:val="16"/>
              </w:rPr>
              <w:t>condición de pobreza (</w:t>
            </w:r>
            <w:r w:rsidR="00400022" w:rsidRPr="00775B06">
              <w:rPr>
                <w:rFonts w:cs="Arial"/>
                <w:sz w:val="16"/>
                <w:szCs w:val="16"/>
              </w:rPr>
              <w:t xml:space="preserve">pobreza, </w:t>
            </w:r>
            <w:r w:rsidR="00502A65" w:rsidRPr="00775B06">
              <w:rPr>
                <w:rFonts w:cs="Arial"/>
                <w:sz w:val="16"/>
                <w:szCs w:val="16"/>
              </w:rPr>
              <w:t xml:space="preserve">pobreza extrema, pobreza moderada, </w:t>
            </w:r>
            <w:r w:rsidR="00A43E57" w:rsidRPr="00775B06">
              <w:rPr>
                <w:rFonts w:cs="Arial"/>
                <w:sz w:val="16"/>
                <w:szCs w:val="16"/>
              </w:rPr>
              <w:t>vulnerable por carencias, vulnerable por ingresos, no pobre y no vulnerable</w:t>
            </w:r>
            <w:r w:rsidRPr="00775B06">
              <w:rPr>
                <w:rFonts w:cs="Arial"/>
                <w:sz w:val="16"/>
                <w:szCs w:val="16"/>
              </w:rPr>
              <w:t>)</w:t>
            </w:r>
            <w:r w:rsidR="00E34A16" w:rsidRPr="00775B06">
              <w:rPr>
                <w:rFonts w:cs="Arial"/>
                <w:sz w:val="16"/>
                <w:szCs w:val="16"/>
              </w:rPr>
              <w:t>, quintil</w:t>
            </w:r>
            <w:r w:rsidRPr="00775B06">
              <w:rPr>
                <w:rFonts w:cs="Arial"/>
                <w:sz w:val="16"/>
                <w:szCs w:val="16"/>
              </w:rPr>
              <w:t xml:space="preserve"> de ingreso</w:t>
            </w:r>
            <w:r w:rsidR="005C3CC5" w:rsidRPr="00775B06">
              <w:rPr>
                <w:rFonts w:cs="Arial"/>
                <w:sz w:val="16"/>
                <w:szCs w:val="16"/>
              </w:rPr>
              <w:t xml:space="preserve"> (I-V)</w:t>
            </w:r>
            <w:r w:rsidRPr="00775B06">
              <w:rPr>
                <w:rFonts w:cs="Arial"/>
                <w:sz w:val="16"/>
                <w:szCs w:val="16"/>
              </w:rPr>
              <w:t xml:space="preserve"> y condición de actividad</w:t>
            </w:r>
            <w:r w:rsidR="005C3CC5" w:rsidRPr="00775B06">
              <w:rPr>
                <w:rFonts w:cs="Arial"/>
                <w:sz w:val="16"/>
                <w:szCs w:val="16"/>
              </w:rPr>
              <w:t xml:space="preserve"> (trabajo </w:t>
            </w:r>
            <w:proofErr w:type="spellStart"/>
            <w:r w:rsidR="005C3CC5" w:rsidRPr="00775B06">
              <w:rPr>
                <w:rFonts w:cs="Arial"/>
                <w:sz w:val="16"/>
                <w:szCs w:val="16"/>
              </w:rPr>
              <w:t>extradoméstico</w:t>
            </w:r>
            <w:proofErr w:type="spellEnd"/>
            <w:r w:rsidR="005C3CC5" w:rsidRPr="00775B06">
              <w:rPr>
                <w:rFonts w:cs="Arial"/>
                <w:sz w:val="16"/>
                <w:szCs w:val="16"/>
              </w:rPr>
              <w:t xml:space="preserve"> ≥ 20 h, trabajo mixto ≥ 20 h, trabajo doméstico ≥ 20 h y no trabaja o &lt; 20 h</w:t>
            </w:r>
            <w:r w:rsidR="00D65AD2" w:rsidRPr="00775B06">
              <w:rPr>
                <w:rFonts w:cs="Arial"/>
                <w:sz w:val="16"/>
                <w:szCs w:val="16"/>
              </w:rPr>
              <w:t>)</w:t>
            </w:r>
            <w:r w:rsidRPr="00775B06">
              <w:rPr>
                <w:rFonts w:cs="Arial"/>
                <w:sz w:val="16"/>
                <w:szCs w:val="16"/>
              </w:rPr>
              <w:t>.</w:t>
            </w:r>
          </w:p>
          <w:p w14:paraId="05CBC8C3" w14:textId="77777777" w:rsidR="00F63C46" w:rsidRPr="00775B06" w:rsidRDefault="00F63C46" w:rsidP="009D0F19">
            <w:pPr>
              <w:jc w:val="both"/>
              <w:rPr>
                <w:rFonts w:cs="Arial"/>
                <w:sz w:val="16"/>
                <w:szCs w:val="16"/>
              </w:rPr>
            </w:pPr>
          </w:p>
          <w:p w14:paraId="25459C76" w14:textId="443DFEF4" w:rsidR="00394565" w:rsidRPr="00775B06" w:rsidRDefault="00394565" w:rsidP="00F63C46">
            <w:pPr>
              <w:ind w:right="-68"/>
              <w:jc w:val="both"/>
              <w:rPr>
                <w:rFonts w:cs="Arial"/>
                <w:sz w:val="16"/>
                <w:szCs w:val="16"/>
              </w:rPr>
            </w:pPr>
            <w:r w:rsidRPr="00775B06">
              <w:rPr>
                <w:rFonts w:cs="Arial"/>
                <w:b/>
                <w:color w:val="595959" w:themeColor="text1" w:themeTint="A6"/>
                <w:sz w:val="16"/>
                <w:szCs w:val="16"/>
              </w:rPr>
              <w:t>M</w:t>
            </w:r>
            <w:r w:rsidR="00F63C46" w:rsidRPr="00775B06">
              <w:rPr>
                <w:rFonts w:cs="Arial"/>
                <w:b/>
                <w:color w:val="595959" w:themeColor="text1" w:themeTint="A6"/>
                <w:sz w:val="16"/>
                <w:szCs w:val="16"/>
              </w:rPr>
              <w:t xml:space="preserve">áximo nivel de desagregación </w:t>
            </w:r>
            <w:r w:rsidR="002335CE" w:rsidRPr="00775B06">
              <w:rPr>
                <w:rFonts w:cs="Arial"/>
                <w:b/>
                <w:color w:val="595959" w:themeColor="text1" w:themeTint="A6"/>
                <w:sz w:val="16"/>
                <w:szCs w:val="16"/>
              </w:rPr>
              <w:t>para</w:t>
            </w:r>
            <w:r w:rsidR="00F63C46" w:rsidRPr="00775B06">
              <w:rPr>
                <w:rFonts w:cs="Arial"/>
                <w:b/>
                <w:color w:val="595959" w:themeColor="text1" w:themeTint="A6"/>
                <w:sz w:val="16"/>
                <w:szCs w:val="16"/>
              </w:rPr>
              <w:t xml:space="preserve"> las subpoblaciones derivadas de la Encuesta Nacional de Ingresos y Gastos de los Hogares</w:t>
            </w:r>
            <w:r w:rsidR="00D65AD2" w:rsidRPr="00775B06">
              <w:rPr>
                <w:rFonts w:cs="Arial"/>
                <w:b/>
                <w:color w:val="595959" w:themeColor="text1" w:themeTint="A6"/>
                <w:sz w:val="16"/>
                <w:szCs w:val="16"/>
              </w:rPr>
              <w:t xml:space="preserve"> </w:t>
            </w:r>
            <w:r w:rsidR="0021070B" w:rsidRPr="00775B06">
              <w:rPr>
                <w:rFonts w:cs="Arial"/>
                <w:b/>
                <w:color w:val="595959" w:themeColor="text1" w:themeTint="A6"/>
                <w:sz w:val="16"/>
                <w:szCs w:val="16"/>
              </w:rPr>
              <w:t xml:space="preserve">2012 y </w:t>
            </w:r>
            <w:r w:rsidR="00781304" w:rsidRPr="00775B06">
              <w:rPr>
                <w:rFonts w:cs="Arial"/>
                <w:b/>
                <w:color w:val="595959" w:themeColor="text1" w:themeTint="A6"/>
                <w:sz w:val="16"/>
                <w:szCs w:val="16"/>
              </w:rPr>
              <w:t>2016</w:t>
            </w:r>
            <w:r w:rsidRPr="00775B06">
              <w:rPr>
                <w:rFonts w:cs="Arial"/>
                <w:sz w:val="16"/>
                <w:szCs w:val="16"/>
              </w:rPr>
              <w:t>:</w:t>
            </w:r>
            <w:r w:rsidR="00781304" w:rsidRPr="00775B06">
              <w:rPr>
                <w:rFonts w:cs="Arial"/>
                <w:sz w:val="16"/>
                <w:szCs w:val="16"/>
              </w:rPr>
              <w:t xml:space="preserve"> </w:t>
            </w:r>
            <w:r w:rsidR="00F63C46" w:rsidRPr="00775B06">
              <w:rPr>
                <w:rFonts w:cs="Arial"/>
                <w:sz w:val="16"/>
                <w:szCs w:val="16"/>
              </w:rPr>
              <w:t>entidad federativa</w:t>
            </w:r>
            <w:r w:rsidRPr="00775B06">
              <w:rPr>
                <w:rFonts w:cs="Arial"/>
                <w:sz w:val="16"/>
                <w:szCs w:val="16"/>
              </w:rPr>
              <w:t>.</w:t>
            </w:r>
          </w:p>
          <w:p w14:paraId="75E19CC8" w14:textId="2B7413B5" w:rsidR="00F63C46" w:rsidRPr="00775B06" w:rsidRDefault="00394565" w:rsidP="00F63C46">
            <w:pPr>
              <w:ind w:right="-68"/>
              <w:jc w:val="both"/>
              <w:rPr>
                <w:rFonts w:cs="Arial"/>
                <w:sz w:val="16"/>
                <w:szCs w:val="16"/>
              </w:rPr>
            </w:pPr>
            <w:r w:rsidRPr="00775B06">
              <w:rPr>
                <w:rFonts w:cs="Arial"/>
                <w:b/>
                <w:color w:val="595959" w:themeColor="text1" w:themeTint="A6"/>
                <w:sz w:val="16"/>
                <w:szCs w:val="16"/>
              </w:rPr>
              <w:t xml:space="preserve">Máximo nivel de desagregación para las subpoblaciones derivadas de </w:t>
            </w:r>
            <w:r w:rsidR="00F63C46" w:rsidRPr="00775B06">
              <w:rPr>
                <w:rFonts w:cs="Arial"/>
                <w:b/>
                <w:color w:val="595959" w:themeColor="text1" w:themeTint="A6"/>
                <w:sz w:val="16"/>
                <w:szCs w:val="16"/>
              </w:rPr>
              <w:t>la Encuesta Nacional de Ocupación y Empleo</w:t>
            </w:r>
            <w:r w:rsidR="00781304" w:rsidRPr="00775B06">
              <w:rPr>
                <w:rFonts w:cs="Arial"/>
                <w:b/>
                <w:color w:val="595959" w:themeColor="text1" w:themeTint="A6"/>
                <w:sz w:val="16"/>
                <w:szCs w:val="16"/>
              </w:rPr>
              <w:t>, 2</w:t>
            </w:r>
            <w:r w:rsidR="00D65AD2" w:rsidRPr="00775B06">
              <w:rPr>
                <w:rFonts w:cs="Arial"/>
                <w:b/>
                <w:color w:val="595959" w:themeColor="text1" w:themeTint="A6"/>
                <w:sz w:val="16"/>
                <w:szCs w:val="16"/>
              </w:rPr>
              <w:t xml:space="preserve">° trimestre de </w:t>
            </w:r>
            <w:r w:rsidR="0021070B" w:rsidRPr="00775B06">
              <w:rPr>
                <w:rFonts w:cs="Arial"/>
                <w:b/>
                <w:color w:val="595959" w:themeColor="text1" w:themeTint="A6"/>
                <w:sz w:val="16"/>
                <w:szCs w:val="16"/>
              </w:rPr>
              <w:t>2013 y 2018</w:t>
            </w:r>
            <w:r w:rsidRPr="00775B06">
              <w:rPr>
                <w:rFonts w:cs="Arial"/>
                <w:sz w:val="16"/>
                <w:szCs w:val="16"/>
              </w:rPr>
              <w:t>:</w:t>
            </w:r>
            <w:r w:rsidR="00F63C46" w:rsidRPr="00775B06">
              <w:rPr>
                <w:rFonts w:cs="Arial"/>
                <w:sz w:val="16"/>
                <w:szCs w:val="16"/>
              </w:rPr>
              <w:t xml:space="preserve"> </w:t>
            </w:r>
            <w:r w:rsidR="009732D5" w:rsidRPr="00775B06">
              <w:rPr>
                <w:rFonts w:cs="Arial"/>
                <w:sz w:val="16"/>
                <w:szCs w:val="16"/>
              </w:rPr>
              <w:t>e</w:t>
            </w:r>
            <w:r w:rsidR="00F63C46" w:rsidRPr="00775B06">
              <w:rPr>
                <w:rFonts w:cs="Arial"/>
                <w:sz w:val="16"/>
                <w:szCs w:val="16"/>
              </w:rPr>
              <w:t xml:space="preserve">ntidad federativa, 32 ciudades </w:t>
            </w:r>
            <w:proofErr w:type="spellStart"/>
            <w:r w:rsidR="00F63C46" w:rsidRPr="00775B06">
              <w:rPr>
                <w:rFonts w:cs="Arial"/>
                <w:color w:val="000000"/>
                <w:sz w:val="16"/>
                <w:szCs w:val="16"/>
                <w:shd w:val="clear" w:color="auto" w:fill="FFFFFF"/>
              </w:rPr>
              <w:t>autorrepresentadas</w:t>
            </w:r>
            <w:proofErr w:type="spellEnd"/>
            <w:r w:rsidR="00F63C46" w:rsidRPr="00775B06">
              <w:rPr>
                <w:rFonts w:cs="Arial"/>
                <w:sz w:val="16"/>
                <w:szCs w:val="16"/>
              </w:rPr>
              <w:t xml:space="preserve">, localidades de 100 </w:t>
            </w:r>
            <w:r w:rsidR="00962401" w:rsidRPr="00775B06">
              <w:rPr>
                <w:rFonts w:cs="Arial"/>
                <w:sz w:val="16"/>
                <w:szCs w:val="16"/>
              </w:rPr>
              <w:t xml:space="preserve">000 </w:t>
            </w:r>
            <w:r w:rsidR="00F63C46" w:rsidRPr="00775B06">
              <w:rPr>
                <w:rFonts w:cs="Arial"/>
                <w:sz w:val="16"/>
                <w:szCs w:val="16"/>
              </w:rPr>
              <w:t xml:space="preserve">y más habitantes, localidades de 15 </w:t>
            </w:r>
            <w:r w:rsidR="00962401" w:rsidRPr="00775B06">
              <w:rPr>
                <w:rFonts w:cs="Arial"/>
                <w:sz w:val="16"/>
                <w:szCs w:val="16"/>
              </w:rPr>
              <w:t xml:space="preserve">000 </w:t>
            </w:r>
            <w:r w:rsidR="00F63C46" w:rsidRPr="00775B06">
              <w:rPr>
                <w:rFonts w:cs="Arial"/>
                <w:sz w:val="16"/>
                <w:szCs w:val="16"/>
              </w:rPr>
              <w:t>a 99 999 habitantes, localidades de 2 500 a 14 999 habitantes</w:t>
            </w:r>
            <w:r w:rsidRPr="00775B06">
              <w:rPr>
                <w:rFonts w:cs="Arial"/>
                <w:sz w:val="16"/>
                <w:szCs w:val="16"/>
              </w:rPr>
              <w:t>,</w:t>
            </w:r>
            <w:r w:rsidR="00F63C46" w:rsidRPr="00775B06">
              <w:rPr>
                <w:rFonts w:cs="Arial"/>
                <w:sz w:val="16"/>
                <w:szCs w:val="16"/>
              </w:rPr>
              <w:t xml:space="preserve"> y localidades de menos de 2 500 habitantes.</w:t>
            </w:r>
          </w:p>
          <w:p w14:paraId="6B488A7B" w14:textId="77777777" w:rsidR="00F63C46" w:rsidRPr="00775B06" w:rsidRDefault="00F63C46" w:rsidP="009D0F19">
            <w:pPr>
              <w:jc w:val="both"/>
              <w:rPr>
                <w:rFonts w:cs="Arial"/>
                <w:sz w:val="16"/>
                <w:szCs w:val="16"/>
              </w:rPr>
            </w:pPr>
          </w:p>
          <w:p w14:paraId="58F58B31" w14:textId="77777777" w:rsidR="00D664A2" w:rsidRPr="00775B06" w:rsidRDefault="00D664A2" w:rsidP="004B3AEA">
            <w:pPr>
              <w:jc w:val="both"/>
              <w:rPr>
                <w:rFonts w:cs="Arial"/>
                <w:sz w:val="12"/>
                <w:szCs w:val="16"/>
              </w:rPr>
            </w:pPr>
          </w:p>
          <w:p w14:paraId="5EE9B00A" w14:textId="77777777" w:rsidR="00F058EA" w:rsidRPr="00775B06" w:rsidRDefault="00811E62" w:rsidP="00F058EA">
            <w:pPr>
              <w:rPr>
                <w:rFonts w:cs="Arial"/>
                <w:b/>
                <w:sz w:val="16"/>
                <w:szCs w:val="16"/>
              </w:rPr>
            </w:pPr>
            <w:r w:rsidRPr="00775B06">
              <w:rPr>
                <w:rFonts w:cs="Arial"/>
                <w:b/>
                <w:sz w:val="16"/>
                <w:szCs w:val="16"/>
              </w:rPr>
              <w:t>Fuente</w:t>
            </w:r>
            <w:r w:rsidR="003C2B40" w:rsidRPr="00775B06">
              <w:rPr>
                <w:rFonts w:cs="Arial"/>
                <w:b/>
                <w:sz w:val="16"/>
                <w:szCs w:val="16"/>
              </w:rPr>
              <w:t>s</w:t>
            </w:r>
            <w:r w:rsidR="00303A91" w:rsidRPr="00775B06">
              <w:rPr>
                <w:rFonts w:cs="Arial"/>
                <w:b/>
                <w:sz w:val="16"/>
                <w:szCs w:val="16"/>
              </w:rPr>
              <w:t xml:space="preserve"> de información</w:t>
            </w:r>
          </w:p>
          <w:p w14:paraId="6EE20283" w14:textId="5E0700F9" w:rsidR="006360AE" w:rsidRPr="00775B06" w:rsidRDefault="006360AE" w:rsidP="000F020F">
            <w:pPr>
              <w:rPr>
                <w:rFonts w:cs="Arial"/>
                <w:sz w:val="16"/>
                <w:szCs w:val="16"/>
                <w:lang w:val="es-MX"/>
              </w:rPr>
            </w:pPr>
            <w:proofErr w:type="spellStart"/>
            <w:r w:rsidRPr="00775B06">
              <w:rPr>
                <w:rFonts w:cs="Arial"/>
                <w:smallCaps/>
                <w:sz w:val="16"/>
                <w:szCs w:val="16"/>
              </w:rPr>
              <w:t>Conapo</w:t>
            </w:r>
            <w:proofErr w:type="spellEnd"/>
            <w:r w:rsidR="00BC023C" w:rsidRPr="00775B06">
              <w:rPr>
                <w:rFonts w:cs="Arial"/>
                <w:sz w:val="16"/>
                <w:szCs w:val="16"/>
                <w:lang w:val="es-MX"/>
              </w:rPr>
              <w:t xml:space="preserve"> (201</w:t>
            </w:r>
            <w:r w:rsidR="002818AE" w:rsidRPr="00775B06">
              <w:rPr>
                <w:rFonts w:cs="Arial"/>
                <w:sz w:val="16"/>
                <w:szCs w:val="16"/>
                <w:lang w:val="es-MX"/>
              </w:rPr>
              <w:t>5</w:t>
            </w:r>
            <w:r w:rsidRPr="00775B06">
              <w:rPr>
                <w:rFonts w:cs="Arial"/>
                <w:sz w:val="16"/>
                <w:szCs w:val="16"/>
                <w:lang w:val="es-MX"/>
              </w:rPr>
              <w:t xml:space="preserve">). Índice de </w:t>
            </w:r>
            <w:r w:rsidR="00946A71" w:rsidRPr="00775B06">
              <w:rPr>
                <w:rFonts w:cs="Arial"/>
                <w:sz w:val="16"/>
                <w:szCs w:val="16"/>
                <w:lang w:val="es-MX"/>
              </w:rPr>
              <w:t>M</w:t>
            </w:r>
            <w:r w:rsidRPr="00775B06">
              <w:rPr>
                <w:rFonts w:cs="Arial"/>
                <w:sz w:val="16"/>
                <w:szCs w:val="16"/>
                <w:lang w:val="es-MX"/>
              </w:rPr>
              <w:t xml:space="preserve">arginación por </w:t>
            </w:r>
            <w:r w:rsidR="00946A71" w:rsidRPr="00775B06">
              <w:rPr>
                <w:rFonts w:cs="Arial"/>
                <w:sz w:val="16"/>
                <w:szCs w:val="16"/>
                <w:lang w:val="es-MX"/>
              </w:rPr>
              <w:t>M</w:t>
            </w:r>
            <w:r w:rsidR="00BC023C" w:rsidRPr="00775B06">
              <w:rPr>
                <w:rFonts w:cs="Arial"/>
                <w:sz w:val="16"/>
                <w:szCs w:val="16"/>
                <w:lang w:val="es-MX"/>
              </w:rPr>
              <w:t>unicipio 2015</w:t>
            </w:r>
            <w:r w:rsidRPr="00775B06">
              <w:rPr>
                <w:rFonts w:cs="Arial"/>
                <w:sz w:val="16"/>
                <w:szCs w:val="16"/>
                <w:lang w:val="es-MX"/>
              </w:rPr>
              <w:t xml:space="preserve"> (base de datos).</w:t>
            </w:r>
          </w:p>
          <w:p w14:paraId="65DDAB89" w14:textId="52E580AA" w:rsidR="00EA60CC" w:rsidRPr="00775B06" w:rsidRDefault="00EA60CC" w:rsidP="006360AE">
            <w:pPr>
              <w:rPr>
                <w:rFonts w:cs="Arial"/>
                <w:color w:val="222222"/>
                <w:sz w:val="16"/>
                <w:szCs w:val="16"/>
                <w:shd w:val="clear" w:color="auto" w:fill="FFFFFF"/>
              </w:rPr>
            </w:pPr>
            <w:r w:rsidRPr="00775B06">
              <w:rPr>
                <w:rFonts w:cs="Arial"/>
                <w:smallCaps/>
                <w:sz w:val="16"/>
                <w:szCs w:val="16"/>
              </w:rPr>
              <w:t>Coneval</w:t>
            </w:r>
            <w:r w:rsidRPr="00775B06">
              <w:rPr>
                <w:rFonts w:cs="Arial"/>
                <w:color w:val="222222"/>
                <w:sz w:val="16"/>
                <w:szCs w:val="16"/>
                <w:shd w:val="clear" w:color="auto" w:fill="FFFFFF"/>
              </w:rPr>
              <w:t xml:space="preserve"> (2013).</w:t>
            </w:r>
            <w:r w:rsidRPr="00775B06">
              <w:rPr>
                <w:rStyle w:val="apple-converted-space"/>
                <w:rFonts w:cs="Arial"/>
                <w:color w:val="222222"/>
                <w:sz w:val="16"/>
                <w:szCs w:val="16"/>
                <w:shd w:val="clear" w:color="auto" w:fill="FFFFFF"/>
              </w:rPr>
              <w:t xml:space="preserve"> Medición de la P</w:t>
            </w:r>
            <w:r w:rsidRPr="00775B06">
              <w:rPr>
                <w:rFonts w:cs="Arial"/>
                <w:iCs/>
                <w:color w:val="222222"/>
                <w:sz w:val="16"/>
                <w:szCs w:val="16"/>
                <w:shd w:val="clear" w:color="auto" w:fill="FFFFFF"/>
              </w:rPr>
              <w:t>obreza en México 2012</w:t>
            </w:r>
            <w:r w:rsidRPr="00775B06">
              <w:rPr>
                <w:rStyle w:val="apple-converted-space"/>
                <w:rFonts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775B06">
              <w:rPr>
                <w:rFonts w:cs="Arial"/>
                <w:color w:val="222222"/>
                <w:sz w:val="16"/>
                <w:szCs w:val="16"/>
                <w:shd w:val="clear" w:color="auto" w:fill="FFFFFF"/>
              </w:rPr>
              <w:t>(programa en Stata).</w:t>
            </w:r>
          </w:p>
          <w:p w14:paraId="6F874D2E" w14:textId="1F2EA537" w:rsidR="006360AE" w:rsidRPr="00775B06" w:rsidRDefault="006360AE" w:rsidP="006360AE">
            <w:pPr>
              <w:rPr>
                <w:rFonts w:cs="Arial"/>
                <w:color w:val="222222"/>
                <w:sz w:val="16"/>
                <w:szCs w:val="16"/>
                <w:shd w:val="clear" w:color="auto" w:fill="FFFFFF"/>
              </w:rPr>
            </w:pPr>
            <w:r w:rsidRPr="00775B06">
              <w:rPr>
                <w:rFonts w:cs="Arial"/>
                <w:smallCaps/>
                <w:sz w:val="16"/>
                <w:szCs w:val="16"/>
              </w:rPr>
              <w:t>Coneval</w:t>
            </w:r>
            <w:r w:rsidR="000F020F" w:rsidRPr="00775B06">
              <w:rPr>
                <w:rFonts w:cs="Arial"/>
                <w:color w:val="222222"/>
                <w:sz w:val="16"/>
                <w:szCs w:val="16"/>
                <w:shd w:val="clear" w:color="auto" w:fill="FFFFFF"/>
              </w:rPr>
              <w:t xml:space="preserve"> (201</w:t>
            </w:r>
            <w:r w:rsidR="001F560D" w:rsidRPr="00775B06">
              <w:rPr>
                <w:rFonts w:cs="Arial"/>
                <w:color w:val="222222"/>
                <w:sz w:val="16"/>
                <w:szCs w:val="16"/>
                <w:shd w:val="clear" w:color="auto" w:fill="FFFFFF"/>
              </w:rPr>
              <w:t>7</w:t>
            </w:r>
            <w:r w:rsidRPr="00775B06">
              <w:rPr>
                <w:rFonts w:cs="Arial"/>
                <w:color w:val="222222"/>
                <w:sz w:val="16"/>
                <w:szCs w:val="16"/>
                <w:shd w:val="clear" w:color="auto" w:fill="FFFFFF"/>
              </w:rPr>
              <w:t>).</w:t>
            </w:r>
            <w:r w:rsidR="007C1009" w:rsidRPr="00775B06">
              <w:rPr>
                <w:rStyle w:val="apple-converted-space"/>
                <w:rFonts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775B06">
              <w:rPr>
                <w:rStyle w:val="apple-converted-space"/>
                <w:rFonts w:cs="Arial"/>
                <w:color w:val="222222"/>
                <w:sz w:val="16"/>
                <w:szCs w:val="16"/>
                <w:shd w:val="clear" w:color="auto" w:fill="FFFFFF"/>
              </w:rPr>
              <w:t xml:space="preserve">Medición de </w:t>
            </w:r>
            <w:r w:rsidR="008C49DE" w:rsidRPr="00775B06">
              <w:rPr>
                <w:rStyle w:val="apple-converted-space"/>
                <w:rFonts w:cs="Arial"/>
                <w:color w:val="222222"/>
                <w:sz w:val="16"/>
                <w:szCs w:val="16"/>
                <w:shd w:val="clear" w:color="auto" w:fill="FFFFFF"/>
              </w:rPr>
              <w:t xml:space="preserve">la </w:t>
            </w:r>
            <w:r w:rsidR="00946A71" w:rsidRPr="00775B06">
              <w:rPr>
                <w:rStyle w:val="apple-converted-space"/>
                <w:rFonts w:cs="Arial"/>
                <w:color w:val="222222"/>
                <w:sz w:val="16"/>
                <w:szCs w:val="16"/>
                <w:shd w:val="clear" w:color="auto" w:fill="FFFFFF"/>
              </w:rPr>
              <w:t>P</w:t>
            </w:r>
            <w:r w:rsidRPr="00775B06">
              <w:rPr>
                <w:rFonts w:cs="Arial"/>
                <w:iCs/>
                <w:color w:val="222222"/>
                <w:sz w:val="16"/>
                <w:szCs w:val="16"/>
                <w:shd w:val="clear" w:color="auto" w:fill="FFFFFF"/>
              </w:rPr>
              <w:t>obreza en México 201</w:t>
            </w:r>
            <w:r w:rsidR="000F020F" w:rsidRPr="00775B06">
              <w:rPr>
                <w:rFonts w:cs="Arial"/>
                <w:iCs/>
                <w:color w:val="222222"/>
                <w:sz w:val="16"/>
                <w:szCs w:val="16"/>
                <w:shd w:val="clear" w:color="auto" w:fill="FFFFFF"/>
              </w:rPr>
              <w:t>6</w:t>
            </w:r>
            <w:r w:rsidR="007C1009" w:rsidRPr="00775B06">
              <w:rPr>
                <w:rStyle w:val="apple-converted-space"/>
                <w:rFonts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775B06">
              <w:rPr>
                <w:rFonts w:cs="Arial"/>
                <w:color w:val="222222"/>
                <w:sz w:val="16"/>
                <w:szCs w:val="16"/>
                <w:shd w:val="clear" w:color="auto" w:fill="FFFFFF"/>
              </w:rPr>
              <w:t>(</w:t>
            </w:r>
            <w:r w:rsidR="007C1009" w:rsidRPr="00775B06">
              <w:rPr>
                <w:rFonts w:cs="Arial"/>
                <w:color w:val="222222"/>
                <w:sz w:val="16"/>
                <w:szCs w:val="16"/>
                <w:shd w:val="clear" w:color="auto" w:fill="FFFFFF"/>
              </w:rPr>
              <w:t>p</w:t>
            </w:r>
            <w:r w:rsidRPr="00775B06">
              <w:rPr>
                <w:rFonts w:cs="Arial"/>
                <w:color w:val="222222"/>
                <w:sz w:val="16"/>
                <w:szCs w:val="16"/>
                <w:shd w:val="clear" w:color="auto" w:fill="FFFFFF"/>
              </w:rPr>
              <w:t>rograma en Stata).</w:t>
            </w:r>
          </w:p>
          <w:p w14:paraId="44EC4844" w14:textId="1CCCD6A0" w:rsidR="00FA4AB4" w:rsidRPr="00775B06" w:rsidRDefault="00A7379B" w:rsidP="00722999">
            <w:pPr>
              <w:rPr>
                <w:rFonts w:cs="Arial"/>
                <w:sz w:val="16"/>
                <w:szCs w:val="16"/>
                <w:lang w:val="es-MX"/>
              </w:rPr>
            </w:pPr>
            <w:r w:rsidRPr="00775B06">
              <w:rPr>
                <w:rFonts w:cs="Arial"/>
                <w:caps/>
                <w:sz w:val="16"/>
                <w:szCs w:val="16"/>
              </w:rPr>
              <w:t>Inegi</w:t>
            </w:r>
            <w:r w:rsidR="005A3DCB" w:rsidRPr="00775B06">
              <w:rPr>
                <w:rFonts w:cs="Arial"/>
                <w:sz w:val="16"/>
                <w:szCs w:val="16"/>
                <w:lang w:val="es-MX"/>
              </w:rPr>
              <w:t xml:space="preserve"> (2013</w:t>
            </w:r>
            <w:r w:rsidR="001E6A7A" w:rsidRPr="00775B06">
              <w:rPr>
                <w:rFonts w:cs="Arial"/>
                <w:sz w:val="16"/>
                <w:szCs w:val="16"/>
                <w:lang w:val="es-MX"/>
              </w:rPr>
              <w:t>a</w:t>
            </w:r>
            <w:r w:rsidR="002E55A6" w:rsidRPr="00775B06">
              <w:rPr>
                <w:rFonts w:cs="Arial"/>
                <w:sz w:val="16"/>
                <w:szCs w:val="16"/>
                <w:lang w:val="es-MX"/>
              </w:rPr>
              <w:t xml:space="preserve">). </w:t>
            </w:r>
            <w:r w:rsidR="007266DD" w:rsidRPr="00775B06">
              <w:rPr>
                <w:rFonts w:cs="Arial"/>
                <w:sz w:val="16"/>
                <w:szCs w:val="16"/>
                <w:lang w:val="es-MX"/>
              </w:rPr>
              <w:t>Encuesta Nacional de Ingre</w:t>
            </w:r>
            <w:r w:rsidR="005A3DCB" w:rsidRPr="00775B06">
              <w:rPr>
                <w:rFonts w:cs="Arial"/>
                <w:sz w:val="16"/>
                <w:szCs w:val="16"/>
                <w:lang w:val="es-MX"/>
              </w:rPr>
              <w:t>sos y Gastos de los Hogares 2012</w:t>
            </w:r>
            <w:r w:rsidR="007266DD" w:rsidRPr="00775B06">
              <w:rPr>
                <w:rFonts w:cs="Arial"/>
                <w:sz w:val="16"/>
                <w:szCs w:val="16"/>
                <w:lang w:val="es-MX"/>
              </w:rPr>
              <w:t xml:space="preserve">, Módulo de Condiciones Socioeconómicas (base de </w:t>
            </w:r>
            <w:proofErr w:type="spellStart"/>
            <w:r w:rsidR="007266DD" w:rsidRPr="00775B06">
              <w:rPr>
                <w:rFonts w:cs="Arial"/>
                <w:sz w:val="16"/>
                <w:szCs w:val="16"/>
                <w:lang w:val="es-MX"/>
              </w:rPr>
              <w:t>microdatos</w:t>
            </w:r>
            <w:proofErr w:type="spellEnd"/>
            <w:r w:rsidR="007266DD" w:rsidRPr="00775B06">
              <w:rPr>
                <w:rFonts w:cs="Arial"/>
                <w:sz w:val="16"/>
                <w:szCs w:val="16"/>
                <w:lang w:val="es-MX"/>
              </w:rPr>
              <w:t>).</w:t>
            </w:r>
          </w:p>
          <w:p w14:paraId="668C35B0" w14:textId="60EBE7A0" w:rsidR="00DD3212" w:rsidRPr="00775B06" w:rsidRDefault="00DD3212" w:rsidP="00DD3212">
            <w:pPr>
              <w:rPr>
                <w:rFonts w:cs="Arial"/>
                <w:sz w:val="16"/>
                <w:szCs w:val="16"/>
                <w:lang w:val="es-MX"/>
              </w:rPr>
            </w:pPr>
            <w:r w:rsidRPr="00775B06">
              <w:rPr>
                <w:rFonts w:cs="Arial"/>
                <w:caps/>
                <w:sz w:val="16"/>
                <w:szCs w:val="16"/>
              </w:rPr>
              <w:t>Inegi</w:t>
            </w:r>
            <w:r w:rsidRPr="00775B06">
              <w:rPr>
                <w:rFonts w:cs="Arial"/>
                <w:sz w:val="16"/>
                <w:szCs w:val="16"/>
                <w:lang w:val="es-MX"/>
              </w:rPr>
              <w:t xml:space="preserve"> (201</w:t>
            </w:r>
            <w:r w:rsidR="005A3DCB" w:rsidRPr="00775B06">
              <w:rPr>
                <w:rFonts w:cs="Arial"/>
                <w:sz w:val="16"/>
                <w:szCs w:val="16"/>
                <w:lang w:val="es-MX"/>
              </w:rPr>
              <w:t>7</w:t>
            </w:r>
            <w:r w:rsidRPr="00775B06">
              <w:rPr>
                <w:rFonts w:cs="Arial"/>
                <w:sz w:val="16"/>
                <w:szCs w:val="16"/>
                <w:lang w:val="es-MX"/>
              </w:rPr>
              <w:t xml:space="preserve">). </w:t>
            </w:r>
            <w:r w:rsidR="007266DD" w:rsidRPr="00775B06">
              <w:rPr>
                <w:rFonts w:cs="Arial"/>
                <w:sz w:val="16"/>
                <w:szCs w:val="16"/>
                <w:lang w:val="es-MX"/>
              </w:rPr>
              <w:t>Encuesta Nacional de Ingre</w:t>
            </w:r>
            <w:r w:rsidR="005A3DCB" w:rsidRPr="00775B06">
              <w:rPr>
                <w:rFonts w:cs="Arial"/>
                <w:sz w:val="16"/>
                <w:szCs w:val="16"/>
                <w:lang w:val="es-MX"/>
              </w:rPr>
              <w:t>sos y Gastos de los Hogares 2016</w:t>
            </w:r>
            <w:r w:rsidR="007266DD" w:rsidRPr="00775B06">
              <w:rPr>
                <w:rFonts w:cs="Arial"/>
                <w:sz w:val="16"/>
                <w:szCs w:val="16"/>
                <w:lang w:val="es-MX"/>
              </w:rPr>
              <w:t xml:space="preserve"> (base de </w:t>
            </w:r>
            <w:proofErr w:type="spellStart"/>
            <w:r w:rsidR="007266DD" w:rsidRPr="00775B06">
              <w:rPr>
                <w:rFonts w:cs="Arial"/>
                <w:sz w:val="16"/>
                <w:szCs w:val="16"/>
                <w:lang w:val="es-MX"/>
              </w:rPr>
              <w:t>microdatos</w:t>
            </w:r>
            <w:proofErr w:type="spellEnd"/>
            <w:r w:rsidR="007266DD" w:rsidRPr="00775B06">
              <w:rPr>
                <w:rFonts w:cs="Arial"/>
                <w:sz w:val="16"/>
                <w:szCs w:val="16"/>
                <w:lang w:val="es-MX"/>
              </w:rPr>
              <w:t>).</w:t>
            </w:r>
          </w:p>
          <w:p w14:paraId="2BF4960D" w14:textId="0D7A5B3A" w:rsidR="00DD3212" w:rsidRPr="00775B06" w:rsidRDefault="00F34944" w:rsidP="00FB513F">
            <w:pPr>
              <w:rPr>
                <w:rFonts w:cs="Arial"/>
                <w:sz w:val="16"/>
                <w:szCs w:val="16"/>
                <w:lang w:val="es-MX"/>
              </w:rPr>
            </w:pPr>
            <w:r w:rsidRPr="00775B06">
              <w:rPr>
                <w:rFonts w:cs="Arial"/>
                <w:caps/>
                <w:sz w:val="16"/>
                <w:szCs w:val="16"/>
              </w:rPr>
              <w:lastRenderedPageBreak/>
              <w:t>Inegi</w:t>
            </w:r>
            <w:r w:rsidRPr="00775B06" w:rsidDel="00F34944">
              <w:rPr>
                <w:rFonts w:cs="Arial"/>
                <w:smallCaps/>
                <w:sz w:val="16"/>
                <w:szCs w:val="16"/>
              </w:rPr>
              <w:t xml:space="preserve"> </w:t>
            </w:r>
            <w:r w:rsidR="00B3743F" w:rsidRPr="00775B06">
              <w:rPr>
                <w:rFonts w:cs="Arial"/>
                <w:sz w:val="16"/>
                <w:szCs w:val="16"/>
                <w:lang w:val="es-MX"/>
              </w:rPr>
              <w:t>(201</w:t>
            </w:r>
            <w:r w:rsidR="00FB513F" w:rsidRPr="00775B06">
              <w:rPr>
                <w:rFonts w:cs="Arial"/>
                <w:sz w:val="16"/>
                <w:szCs w:val="16"/>
                <w:lang w:val="es-MX"/>
              </w:rPr>
              <w:t>3</w:t>
            </w:r>
            <w:r w:rsidR="001E6A7A" w:rsidRPr="00775B06">
              <w:rPr>
                <w:rFonts w:cs="Arial"/>
                <w:sz w:val="16"/>
                <w:szCs w:val="16"/>
                <w:lang w:val="es-MX"/>
              </w:rPr>
              <w:t>b</w:t>
            </w:r>
            <w:r w:rsidR="00B3743F" w:rsidRPr="00775B06">
              <w:rPr>
                <w:rFonts w:cs="Arial"/>
                <w:sz w:val="16"/>
                <w:szCs w:val="16"/>
                <w:lang w:val="es-MX"/>
              </w:rPr>
              <w:t>). Encuesta Nacional de Ocupación y Empleo, 2° trimestre de 201</w:t>
            </w:r>
            <w:r w:rsidR="00FB513F" w:rsidRPr="00775B06">
              <w:rPr>
                <w:rFonts w:cs="Arial"/>
                <w:sz w:val="16"/>
                <w:szCs w:val="16"/>
                <w:lang w:val="es-MX"/>
              </w:rPr>
              <w:t>3</w:t>
            </w:r>
            <w:r w:rsidR="00B3743F" w:rsidRPr="00775B06">
              <w:rPr>
                <w:rFonts w:cs="Arial"/>
                <w:sz w:val="16"/>
                <w:szCs w:val="16"/>
                <w:lang w:val="es-MX"/>
              </w:rPr>
              <w:t xml:space="preserve"> (base de </w:t>
            </w:r>
            <w:proofErr w:type="spellStart"/>
            <w:r w:rsidR="00B3743F" w:rsidRPr="00775B06">
              <w:rPr>
                <w:rFonts w:cs="Arial"/>
                <w:sz w:val="16"/>
                <w:szCs w:val="16"/>
                <w:lang w:val="es-MX"/>
              </w:rPr>
              <w:t>microdatos</w:t>
            </w:r>
            <w:proofErr w:type="spellEnd"/>
            <w:r w:rsidR="00B3743F" w:rsidRPr="00775B06">
              <w:rPr>
                <w:rFonts w:cs="Arial"/>
                <w:sz w:val="16"/>
                <w:szCs w:val="16"/>
                <w:lang w:val="es-MX"/>
              </w:rPr>
              <w:t>).</w:t>
            </w:r>
          </w:p>
          <w:p w14:paraId="7F26AA46" w14:textId="2A0A7B8E" w:rsidR="00FB513F" w:rsidRPr="00775B06" w:rsidRDefault="00F34944" w:rsidP="00FB513F">
            <w:pPr>
              <w:rPr>
                <w:rFonts w:cs="Arial"/>
                <w:sz w:val="16"/>
                <w:szCs w:val="16"/>
                <w:lang w:val="es-MX"/>
              </w:rPr>
            </w:pPr>
            <w:r w:rsidRPr="00775B06">
              <w:rPr>
                <w:rFonts w:cs="Arial"/>
                <w:caps/>
                <w:sz w:val="16"/>
                <w:szCs w:val="16"/>
              </w:rPr>
              <w:t>Inegi</w:t>
            </w:r>
            <w:r w:rsidR="00FB513F" w:rsidRPr="00775B06">
              <w:rPr>
                <w:rFonts w:cs="Arial"/>
                <w:sz w:val="16"/>
                <w:szCs w:val="16"/>
                <w:lang w:val="es-MX"/>
              </w:rPr>
              <w:t xml:space="preserve"> (2018</w:t>
            </w:r>
            <w:r w:rsidR="001E6A7A" w:rsidRPr="00775B06">
              <w:rPr>
                <w:rFonts w:cs="Arial"/>
                <w:sz w:val="16"/>
                <w:szCs w:val="16"/>
                <w:lang w:val="es-MX"/>
              </w:rPr>
              <w:t>a</w:t>
            </w:r>
            <w:r w:rsidR="00FB513F" w:rsidRPr="00775B06">
              <w:rPr>
                <w:rFonts w:cs="Arial"/>
                <w:sz w:val="16"/>
                <w:szCs w:val="16"/>
                <w:lang w:val="es-MX"/>
              </w:rPr>
              <w:t xml:space="preserve">). Encuesta Nacional de Ocupación y Empleo, 2° trimestre de 2018 (base de </w:t>
            </w:r>
            <w:proofErr w:type="spellStart"/>
            <w:r w:rsidR="00FB513F" w:rsidRPr="00775B06">
              <w:rPr>
                <w:rFonts w:cs="Arial"/>
                <w:sz w:val="16"/>
                <w:szCs w:val="16"/>
                <w:lang w:val="es-MX"/>
              </w:rPr>
              <w:t>microdatos</w:t>
            </w:r>
            <w:proofErr w:type="spellEnd"/>
            <w:r w:rsidR="00FB513F" w:rsidRPr="00775B06">
              <w:rPr>
                <w:rFonts w:cs="Arial"/>
                <w:sz w:val="16"/>
                <w:szCs w:val="16"/>
                <w:lang w:val="es-MX"/>
              </w:rPr>
              <w:t>).</w:t>
            </w:r>
          </w:p>
          <w:p w14:paraId="6DC6D001" w14:textId="77777777" w:rsidR="00FB513F" w:rsidRPr="00775B06" w:rsidRDefault="00FB513F" w:rsidP="00CB19FE">
            <w:pPr>
              <w:rPr>
                <w:rFonts w:cs="Arial"/>
                <w:sz w:val="16"/>
                <w:szCs w:val="16"/>
              </w:rPr>
            </w:pPr>
          </w:p>
          <w:p w14:paraId="241636C4" w14:textId="77777777" w:rsidR="001D2D24" w:rsidRPr="00775B06" w:rsidRDefault="001D2D24" w:rsidP="00A11EFB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775B06">
              <w:rPr>
                <w:rFonts w:cs="Arial"/>
                <w:b/>
                <w:sz w:val="16"/>
                <w:szCs w:val="16"/>
              </w:rPr>
              <w:t>Notas</w:t>
            </w:r>
          </w:p>
          <w:p w14:paraId="033FC297" w14:textId="164E5F44" w:rsidR="001D2D24" w:rsidRPr="00775B06" w:rsidRDefault="00412CC0" w:rsidP="00A11EFB">
            <w:pPr>
              <w:jc w:val="both"/>
              <w:rPr>
                <w:rFonts w:cs="Arial"/>
                <w:sz w:val="12"/>
                <w:szCs w:val="12"/>
              </w:rPr>
            </w:pPr>
            <w:r w:rsidRPr="00775B06">
              <w:rPr>
                <w:rFonts w:cs="Arial"/>
                <w:sz w:val="12"/>
                <w:szCs w:val="12"/>
                <w:vertAlign w:val="superscript"/>
              </w:rPr>
              <w:t>1</w:t>
            </w:r>
            <w:r w:rsidR="00426D45" w:rsidRPr="00775B06">
              <w:rPr>
                <w:rFonts w:cs="Arial"/>
                <w:sz w:val="12"/>
                <w:szCs w:val="12"/>
              </w:rPr>
              <w:t xml:space="preserve"> Se p</w:t>
            </w:r>
            <w:r w:rsidR="00D94A35" w:rsidRPr="00775B06">
              <w:rPr>
                <w:rFonts w:cs="Arial"/>
                <w:sz w:val="12"/>
                <w:szCs w:val="12"/>
              </w:rPr>
              <w:t xml:space="preserve">resentan los grupos de edad 15 a </w:t>
            </w:r>
            <w:r w:rsidR="00275945" w:rsidRPr="00775B06">
              <w:rPr>
                <w:rFonts w:cs="Arial"/>
                <w:sz w:val="12"/>
                <w:szCs w:val="12"/>
              </w:rPr>
              <w:t>2</w:t>
            </w:r>
            <w:r w:rsidR="00D94A35" w:rsidRPr="00775B06">
              <w:rPr>
                <w:rFonts w:cs="Arial"/>
                <w:sz w:val="12"/>
                <w:szCs w:val="12"/>
              </w:rPr>
              <w:t xml:space="preserve">4, 25 a </w:t>
            </w:r>
            <w:r w:rsidR="00F95CA8" w:rsidRPr="00775B06">
              <w:rPr>
                <w:rFonts w:cs="Arial"/>
                <w:sz w:val="12"/>
                <w:szCs w:val="12"/>
              </w:rPr>
              <w:t>64,</w:t>
            </w:r>
            <w:r w:rsidR="00426D45" w:rsidRPr="00775B06">
              <w:rPr>
                <w:rFonts w:cs="Arial"/>
                <w:sz w:val="12"/>
                <w:szCs w:val="12"/>
              </w:rPr>
              <w:t xml:space="preserve"> 65 </w:t>
            </w:r>
            <w:r w:rsidR="00F95CA8" w:rsidRPr="00775B06">
              <w:rPr>
                <w:rFonts w:cs="Arial"/>
                <w:sz w:val="12"/>
                <w:szCs w:val="12"/>
              </w:rPr>
              <w:t>o</w:t>
            </w:r>
            <w:r w:rsidR="00426D45" w:rsidRPr="00775B06">
              <w:rPr>
                <w:rFonts w:cs="Arial"/>
                <w:sz w:val="12"/>
                <w:szCs w:val="12"/>
              </w:rPr>
              <w:t xml:space="preserve"> más</w:t>
            </w:r>
            <w:r w:rsidR="00F95CA8" w:rsidRPr="00775B06">
              <w:rPr>
                <w:rFonts w:cs="Arial"/>
                <w:sz w:val="12"/>
                <w:szCs w:val="12"/>
              </w:rPr>
              <w:t xml:space="preserve"> y 15 o más</w:t>
            </w:r>
            <w:r w:rsidR="00B3743F" w:rsidRPr="00775B06">
              <w:rPr>
                <w:rFonts w:cs="Arial"/>
                <w:sz w:val="12"/>
                <w:szCs w:val="12"/>
              </w:rPr>
              <w:t xml:space="preserve"> años</w:t>
            </w:r>
            <w:r w:rsidR="00426D45" w:rsidRPr="00775B06">
              <w:rPr>
                <w:rFonts w:cs="Arial"/>
                <w:sz w:val="12"/>
                <w:szCs w:val="12"/>
              </w:rPr>
              <w:t>.</w:t>
            </w:r>
          </w:p>
          <w:p w14:paraId="4018D5F9" w14:textId="67913DCD" w:rsidR="0085130D" w:rsidRPr="00775B06" w:rsidRDefault="00412CC0" w:rsidP="00CB19FE">
            <w:pPr>
              <w:pStyle w:val="Encabezado"/>
              <w:tabs>
                <w:tab w:val="clear" w:pos="4419"/>
                <w:tab w:val="clear" w:pos="8838"/>
                <w:tab w:val="left" w:pos="4500"/>
                <w:tab w:val="left" w:pos="4680"/>
              </w:tabs>
              <w:jc w:val="both"/>
              <w:rPr>
                <w:rFonts w:cs="Arial"/>
                <w:sz w:val="12"/>
                <w:szCs w:val="12"/>
              </w:rPr>
            </w:pPr>
            <w:r w:rsidRPr="00775B06">
              <w:rPr>
                <w:rFonts w:cs="Arial"/>
                <w:sz w:val="12"/>
                <w:szCs w:val="12"/>
                <w:vertAlign w:val="superscript"/>
              </w:rPr>
              <w:t>2</w:t>
            </w:r>
            <w:r w:rsidR="00276EF4" w:rsidRPr="00775B06">
              <w:rPr>
                <w:rFonts w:cs="Arial"/>
                <w:sz w:val="12"/>
                <w:szCs w:val="12"/>
              </w:rPr>
              <w:t xml:space="preserve"> </w:t>
            </w:r>
            <w:r w:rsidR="00CB19FE" w:rsidRPr="00775B06">
              <w:rPr>
                <w:rFonts w:cs="Arial"/>
                <w:sz w:val="12"/>
                <w:szCs w:val="12"/>
              </w:rPr>
              <w:t>Ver</w:t>
            </w:r>
            <w:r w:rsidR="006C604A" w:rsidRPr="00775B06">
              <w:rPr>
                <w:rFonts w:cs="Arial"/>
                <w:sz w:val="12"/>
                <w:szCs w:val="12"/>
              </w:rPr>
              <w:t xml:space="preserve"> la</w:t>
            </w:r>
            <w:r w:rsidR="00CB19FE" w:rsidRPr="00775B06">
              <w:rPr>
                <w:rFonts w:cs="Arial"/>
                <w:sz w:val="12"/>
                <w:szCs w:val="12"/>
              </w:rPr>
              <w:t xml:space="preserve"> </w:t>
            </w:r>
            <w:r w:rsidR="00D94A35" w:rsidRPr="00775B06">
              <w:rPr>
                <w:rFonts w:cs="Arial"/>
                <w:sz w:val="12"/>
                <w:szCs w:val="12"/>
              </w:rPr>
              <w:t>n</w:t>
            </w:r>
            <w:r w:rsidR="00876842" w:rsidRPr="00775B06">
              <w:rPr>
                <w:rFonts w:cs="Arial"/>
                <w:sz w:val="12"/>
                <w:szCs w:val="12"/>
              </w:rPr>
              <w:t>ota técnica</w:t>
            </w:r>
            <w:r w:rsidR="00CB19FE" w:rsidRPr="00775B06">
              <w:rPr>
                <w:rFonts w:cs="Arial"/>
                <w:i/>
                <w:sz w:val="12"/>
                <w:szCs w:val="12"/>
              </w:rPr>
              <w:t xml:space="preserve"> </w:t>
            </w:r>
            <w:r w:rsidR="00D94A35" w:rsidRPr="00775B06">
              <w:rPr>
                <w:rFonts w:cs="Arial"/>
                <w:sz w:val="12"/>
                <w:szCs w:val="12"/>
              </w:rPr>
              <w:t xml:space="preserve">“Subpoblaciones, </w:t>
            </w:r>
            <w:r w:rsidR="007A0AF5" w:rsidRPr="00775B06">
              <w:rPr>
                <w:rFonts w:cs="Arial"/>
                <w:sz w:val="12"/>
                <w:szCs w:val="12"/>
              </w:rPr>
              <w:t xml:space="preserve">nivel de </w:t>
            </w:r>
            <w:r w:rsidR="00D94A35" w:rsidRPr="00775B06">
              <w:rPr>
                <w:rFonts w:cs="Arial"/>
                <w:sz w:val="12"/>
                <w:szCs w:val="12"/>
              </w:rPr>
              <w:t xml:space="preserve">escolaridad y población atendible” </w:t>
            </w:r>
            <w:r w:rsidR="00A83053" w:rsidRPr="00775B06">
              <w:rPr>
                <w:rFonts w:cs="Arial"/>
                <w:sz w:val="12"/>
                <w:szCs w:val="12"/>
              </w:rPr>
              <w:t xml:space="preserve">en </w:t>
            </w:r>
            <w:r w:rsidR="00A83053" w:rsidRPr="00775B06">
              <w:rPr>
                <w:rFonts w:cs="Arial"/>
                <w:i/>
                <w:sz w:val="12"/>
                <w:szCs w:val="12"/>
              </w:rPr>
              <w:t>Panorama Educativo de México 2017</w:t>
            </w:r>
            <w:r w:rsidR="000E46FB" w:rsidRPr="00775B06">
              <w:rPr>
                <w:rFonts w:cs="Arial"/>
                <w:sz w:val="12"/>
                <w:szCs w:val="12"/>
              </w:rPr>
              <w:t xml:space="preserve"> (INEE, 2018b, p</w:t>
            </w:r>
            <w:r w:rsidR="00A83053" w:rsidRPr="00775B06">
              <w:rPr>
                <w:rFonts w:cs="Arial"/>
                <w:sz w:val="12"/>
                <w:szCs w:val="12"/>
              </w:rPr>
              <w:t>p</w:t>
            </w:r>
            <w:r w:rsidR="000E46FB" w:rsidRPr="00775B06">
              <w:rPr>
                <w:rFonts w:cs="Arial"/>
                <w:sz w:val="12"/>
                <w:szCs w:val="12"/>
              </w:rPr>
              <w:t>.</w:t>
            </w:r>
            <w:r w:rsidR="00A83053" w:rsidRPr="00775B06">
              <w:rPr>
                <w:rFonts w:cs="Arial"/>
                <w:sz w:val="12"/>
                <w:szCs w:val="12"/>
              </w:rPr>
              <w:t xml:space="preserve"> 167</w:t>
            </w:r>
            <w:r w:rsidR="000E46FB" w:rsidRPr="00775B06">
              <w:rPr>
                <w:rFonts w:cs="Arial"/>
                <w:sz w:val="12"/>
                <w:szCs w:val="12"/>
              </w:rPr>
              <w:t>-170</w:t>
            </w:r>
            <w:r w:rsidR="002E55A6" w:rsidRPr="00775B06">
              <w:rPr>
                <w:rFonts w:cs="Arial"/>
                <w:sz w:val="12"/>
                <w:szCs w:val="12"/>
              </w:rPr>
              <w:t>.</w:t>
            </w:r>
          </w:p>
          <w:p w14:paraId="1269EC9D" w14:textId="05817A7D" w:rsidR="000E46FB" w:rsidRPr="00775B06" w:rsidRDefault="005C3CC5" w:rsidP="000E46FB">
            <w:pPr>
              <w:pStyle w:val="Encabezado"/>
              <w:tabs>
                <w:tab w:val="clear" w:pos="4419"/>
                <w:tab w:val="clear" w:pos="8838"/>
                <w:tab w:val="left" w:pos="4500"/>
                <w:tab w:val="left" w:pos="4680"/>
              </w:tabs>
              <w:jc w:val="both"/>
              <w:rPr>
                <w:rFonts w:cs="Arial"/>
                <w:sz w:val="12"/>
                <w:szCs w:val="12"/>
              </w:rPr>
            </w:pPr>
            <w:r w:rsidRPr="00775B06">
              <w:rPr>
                <w:rFonts w:cs="Arial"/>
                <w:sz w:val="12"/>
                <w:szCs w:val="12"/>
                <w:vertAlign w:val="superscript"/>
              </w:rPr>
              <w:t>3</w:t>
            </w:r>
            <w:r w:rsidR="00CF3463" w:rsidRPr="00775B06">
              <w:rPr>
                <w:rFonts w:cs="Arial"/>
                <w:sz w:val="12"/>
                <w:szCs w:val="12"/>
              </w:rPr>
              <w:t xml:space="preserve"> Según el criterio de la CD</w:t>
            </w:r>
            <w:r w:rsidR="000B161B" w:rsidRPr="00775B06">
              <w:rPr>
                <w:rFonts w:cs="Arial"/>
                <w:sz w:val="12"/>
                <w:szCs w:val="12"/>
              </w:rPr>
              <w:t xml:space="preserve">I. Ver también la </w:t>
            </w:r>
            <w:r w:rsidR="00CF3463" w:rsidRPr="00775B06">
              <w:rPr>
                <w:rFonts w:cs="Arial"/>
                <w:sz w:val="12"/>
                <w:szCs w:val="12"/>
              </w:rPr>
              <w:t>nota técnica</w:t>
            </w:r>
            <w:r w:rsidR="00CF3463" w:rsidRPr="00775B06">
              <w:rPr>
                <w:rFonts w:cs="Arial"/>
                <w:i/>
                <w:sz w:val="12"/>
                <w:szCs w:val="12"/>
              </w:rPr>
              <w:t xml:space="preserve"> </w:t>
            </w:r>
            <w:r w:rsidR="00CF3463" w:rsidRPr="00775B06">
              <w:rPr>
                <w:rFonts w:cs="Arial"/>
                <w:sz w:val="12"/>
                <w:szCs w:val="12"/>
              </w:rPr>
              <w:t>“Subpoblaciones, nivel de escolaridad y población atendible”</w:t>
            </w:r>
            <w:r w:rsidR="00A83053" w:rsidRPr="00775B06">
              <w:rPr>
                <w:rFonts w:cs="Arial"/>
                <w:sz w:val="12"/>
                <w:szCs w:val="12"/>
              </w:rPr>
              <w:t>,</w:t>
            </w:r>
            <w:r w:rsidR="00CF3463" w:rsidRPr="00775B06">
              <w:rPr>
                <w:rFonts w:cs="Arial"/>
                <w:sz w:val="12"/>
                <w:szCs w:val="12"/>
              </w:rPr>
              <w:t xml:space="preserve"> </w:t>
            </w:r>
            <w:r w:rsidR="00A83053" w:rsidRPr="00775B06">
              <w:rPr>
                <w:rFonts w:cs="Arial"/>
                <w:sz w:val="12"/>
                <w:szCs w:val="12"/>
              </w:rPr>
              <w:t xml:space="preserve">en </w:t>
            </w:r>
            <w:r w:rsidR="00A83053" w:rsidRPr="00775B06">
              <w:rPr>
                <w:rFonts w:cs="Arial"/>
                <w:i/>
                <w:sz w:val="12"/>
                <w:szCs w:val="12"/>
              </w:rPr>
              <w:t>Panorama Educativo de México 2017</w:t>
            </w:r>
            <w:r w:rsidR="000E46FB" w:rsidRPr="00775B06">
              <w:rPr>
                <w:rFonts w:cs="Arial"/>
                <w:sz w:val="12"/>
                <w:szCs w:val="12"/>
              </w:rPr>
              <w:t xml:space="preserve"> (INEE, 2018b, pp. 167-170.</w:t>
            </w:r>
          </w:p>
          <w:p w14:paraId="13D5975D" w14:textId="22E5D9FF" w:rsidR="005C3CC5" w:rsidRPr="00775B06" w:rsidRDefault="005C3CC5" w:rsidP="00CF3463">
            <w:pPr>
              <w:pStyle w:val="Encabezado"/>
              <w:tabs>
                <w:tab w:val="clear" w:pos="4419"/>
                <w:tab w:val="clear" w:pos="8838"/>
                <w:tab w:val="left" w:pos="4500"/>
                <w:tab w:val="left" w:pos="4680"/>
              </w:tabs>
              <w:jc w:val="both"/>
              <w:rPr>
                <w:rFonts w:cs="Arial"/>
                <w:sz w:val="12"/>
                <w:szCs w:val="12"/>
              </w:rPr>
            </w:pPr>
            <w:bookmarkStart w:id="0" w:name="_GoBack"/>
            <w:bookmarkEnd w:id="0"/>
          </w:p>
        </w:tc>
      </w:tr>
    </w:tbl>
    <w:p w14:paraId="57C5183D" w14:textId="77777777" w:rsidR="00D97441" w:rsidRPr="00E21DBE" w:rsidRDefault="00D97441" w:rsidP="00FA1ACA">
      <w:pPr>
        <w:rPr>
          <w:sz w:val="16"/>
          <w:szCs w:val="16"/>
        </w:rPr>
      </w:pPr>
    </w:p>
    <w:sectPr w:rsidR="00D97441" w:rsidRPr="00E21DBE" w:rsidSect="00A11EFB">
      <w:pgSz w:w="12242" w:h="15842" w:code="11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78C18" w14:textId="77777777" w:rsidR="00E41CAA" w:rsidRDefault="00E41CAA" w:rsidP="005C3CC5">
      <w:r>
        <w:separator/>
      </w:r>
    </w:p>
  </w:endnote>
  <w:endnote w:type="continuationSeparator" w:id="0">
    <w:p w14:paraId="3DC0E67E" w14:textId="77777777" w:rsidR="00E41CAA" w:rsidRDefault="00E41CAA" w:rsidP="005C3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58956" w14:textId="77777777" w:rsidR="00E41CAA" w:rsidRDefault="00E41CAA" w:rsidP="005C3CC5">
      <w:r>
        <w:separator/>
      </w:r>
    </w:p>
  </w:footnote>
  <w:footnote w:type="continuationSeparator" w:id="0">
    <w:p w14:paraId="74CE9E28" w14:textId="77777777" w:rsidR="00E41CAA" w:rsidRDefault="00E41CAA" w:rsidP="005C3C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Q3NzYwMjEAMg1MDZR0lIJTi4sz8/NACoxqAQHpoJ4sAAAA"/>
  </w:docVars>
  <w:rsids>
    <w:rsidRoot w:val="00A11EFB"/>
    <w:rsid w:val="00001AF3"/>
    <w:rsid w:val="00002B41"/>
    <w:rsid w:val="00002FC7"/>
    <w:rsid w:val="00011983"/>
    <w:rsid w:val="00017708"/>
    <w:rsid w:val="00017AAF"/>
    <w:rsid w:val="00023853"/>
    <w:rsid w:val="00026A25"/>
    <w:rsid w:val="00026FDD"/>
    <w:rsid w:val="000302DB"/>
    <w:rsid w:val="00031564"/>
    <w:rsid w:val="00034EBC"/>
    <w:rsid w:val="00035DF1"/>
    <w:rsid w:val="00042032"/>
    <w:rsid w:val="00044209"/>
    <w:rsid w:val="00044C7E"/>
    <w:rsid w:val="00045175"/>
    <w:rsid w:val="0004700F"/>
    <w:rsid w:val="0005683D"/>
    <w:rsid w:val="0006398B"/>
    <w:rsid w:val="0007478B"/>
    <w:rsid w:val="000765ED"/>
    <w:rsid w:val="0008081C"/>
    <w:rsid w:val="00082674"/>
    <w:rsid w:val="0008463B"/>
    <w:rsid w:val="000928CA"/>
    <w:rsid w:val="00092FAB"/>
    <w:rsid w:val="00096C87"/>
    <w:rsid w:val="000A3339"/>
    <w:rsid w:val="000A5604"/>
    <w:rsid w:val="000A668E"/>
    <w:rsid w:val="000B161B"/>
    <w:rsid w:val="000B4E48"/>
    <w:rsid w:val="000C00F6"/>
    <w:rsid w:val="000C0DA9"/>
    <w:rsid w:val="000C294C"/>
    <w:rsid w:val="000C574F"/>
    <w:rsid w:val="000C6A06"/>
    <w:rsid w:val="000E2FCC"/>
    <w:rsid w:val="000E46FB"/>
    <w:rsid w:val="000F020F"/>
    <w:rsid w:val="000F39DC"/>
    <w:rsid w:val="00106251"/>
    <w:rsid w:val="00113CCF"/>
    <w:rsid w:val="001223ED"/>
    <w:rsid w:val="0012391A"/>
    <w:rsid w:val="001245A1"/>
    <w:rsid w:val="001276F6"/>
    <w:rsid w:val="00132C78"/>
    <w:rsid w:val="00133FB5"/>
    <w:rsid w:val="001417D1"/>
    <w:rsid w:val="00143BE2"/>
    <w:rsid w:val="00151DC4"/>
    <w:rsid w:val="00152B6A"/>
    <w:rsid w:val="001539A3"/>
    <w:rsid w:val="00154649"/>
    <w:rsid w:val="00156FB7"/>
    <w:rsid w:val="00170291"/>
    <w:rsid w:val="00181FB4"/>
    <w:rsid w:val="0018212B"/>
    <w:rsid w:val="0018238D"/>
    <w:rsid w:val="00185680"/>
    <w:rsid w:val="001927C3"/>
    <w:rsid w:val="0019394A"/>
    <w:rsid w:val="00195356"/>
    <w:rsid w:val="001A02AD"/>
    <w:rsid w:val="001A0F21"/>
    <w:rsid w:val="001A6186"/>
    <w:rsid w:val="001A6561"/>
    <w:rsid w:val="001C0C2E"/>
    <w:rsid w:val="001C3DF2"/>
    <w:rsid w:val="001D2D24"/>
    <w:rsid w:val="001D38DD"/>
    <w:rsid w:val="001D4008"/>
    <w:rsid w:val="001D79C5"/>
    <w:rsid w:val="001E6A7A"/>
    <w:rsid w:val="001F560D"/>
    <w:rsid w:val="001F5D56"/>
    <w:rsid w:val="00202D0C"/>
    <w:rsid w:val="0020387C"/>
    <w:rsid w:val="00204A1D"/>
    <w:rsid w:val="0021070B"/>
    <w:rsid w:val="00217A08"/>
    <w:rsid w:val="00222788"/>
    <w:rsid w:val="00227D10"/>
    <w:rsid w:val="002335CE"/>
    <w:rsid w:val="002338B3"/>
    <w:rsid w:val="00237318"/>
    <w:rsid w:val="00241F7A"/>
    <w:rsid w:val="002457AF"/>
    <w:rsid w:val="00250A1C"/>
    <w:rsid w:val="0025304F"/>
    <w:rsid w:val="002564C5"/>
    <w:rsid w:val="00275945"/>
    <w:rsid w:val="00276EF4"/>
    <w:rsid w:val="002800CB"/>
    <w:rsid w:val="002818AE"/>
    <w:rsid w:val="002842D7"/>
    <w:rsid w:val="00286F0A"/>
    <w:rsid w:val="002913C4"/>
    <w:rsid w:val="00291E36"/>
    <w:rsid w:val="00295BEC"/>
    <w:rsid w:val="002B61A6"/>
    <w:rsid w:val="002C19BD"/>
    <w:rsid w:val="002D0222"/>
    <w:rsid w:val="002D29A4"/>
    <w:rsid w:val="002D7160"/>
    <w:rsid w:val="002E3995"/>
    <w:rsid w:val="002E55A6"/>
    <w:rsid w:val="002E67C6"/>
    <w:rsid w:val="002F1BA9"/>
    <w:rsid w:val="002F4CA4"/>
    <w:rsid w:val="002F4E6C"/>
    <w:rsid w:val="0030046C"/>
    <w:rsid w:val="00303029"/>
    <w:rsid w:val="00303A91"/>
    <w:rsid w:val="0034106E"/>
    <w:rsid w:val="00346564"/>
    <w:rsid w:val="00346AC6"/>
    <w:rsid w:val="00350515"/>
    <w:rsid w:val="003614B9"/>
    <w:rsid w:val="003622BD"/>
    <w:rsid w:val="0037614E"/>
    <w:rsid w:val="00377AEF"/>
    <w:rsid w:val="00380BB3"/>
    <w:rsid w:val="003863B7"/>
    <w:rsid w:val="00390D7A"/>
    <w:rsid w:val="00390F50"/>
    <w:rsid w:val="00390F7F"/>
    <w:rsid w:val="00394565"/>
    <w:rsid w:val="003A0C12"/>
    <w:rsid w:val="003A16A4"/>
    <w:rsid w:val="003A5648"/>
    <w:rsid w:val="003A758B"/>
    <w:rsid w:val="003B1FE9"/>
    <w:rsid w:val="003B30AC"/>
    <w:rsid w:val="003B48FA"/>
    <w:rsid w:val="003B6563"/>
    <w:rsid w:val="003C2B40"/>
    <w:rsid w:val="003D06B5"/>
    <w:rsid w:val="003D0D86"/>
    <w:rsid w:val="003D4D49"/>
    <w:rsid w:val="003E5DFA"/>
    <w:rsid w:val="003F0926"/>
    <w:rsid w:val="00400022"/>
    <w:rsid w:val="00402594"/>
    <w:rsid w:val="00402FD9"/>
    <w:rsid w:val="00406A8B"/>
    <w:rsid w:val="0040756D"/>
    <w:rsid w:val="00412CC0"/>
    <w:rsid w:val="00417605"/>
    <w:rsid w:val="004237B6"/>
    <w:rsid w:val="00424FA9"/>
    <w:rsid w:val="00426D45"/>
    <w:rsid w:val="00430D74"/>
    <w:rsid w:val="00431130"/>
    <w:rsid w:val="00431BD3"/>
    <w:rsid w:val="00435EC6"/>
    <w:rsid w:val="0044020A"/>
    <w:rsid w:val="00441465"/>
    <w:rsid w:val="0044220D"/>
    <w:rsid w:val="00444A21"/>
    <w:rsid w:val="00447E73"/>
    <w:rsid w:val="0046496B"/>
    <w:rsid w:val="00465DDB"/>
    <w:rsid w:val="00466FDE"/>
    <w:rsid w:val="0047005B"/>
    <w:rsid w:val="0047132D"/>
    <w:rsid w:val="004727B7"/>
    <w:rsid w:val="004739A0"/>
    <w:rsid w:val="004815C2"/>
    <w:rsid w:val="00485331"/>
    <w:rsid w:val="00487A47"/>
    <w:rsid w:val="0049158C"/>
    <w:rsid w:val="00493B1D"/>
    <w:rsid w:val="004B3120"/>
    <w:rsid w:val="004B3AEA"/>
    <w:rsid w:val="004C013B"/>
    <w:rsid w:val="004C7D39"/>
    <w:rsid w:val="004D30CE"/>
    <w:rsid w:val="004E0AB1"/>
    <w:rsid w:val="004E2F14"/>
    <w:rsid w:val="004E3A2B"/>
    <w:rsid w:val="004F0164"/>
    <w:rsid w:val="004F1983"/>
    <w:rsid w:val="00502A65"/>
    <w:rsid w:val="005068B4"/>
    <w:rsid w:val="005110AD"/>
    <w:rsid w:val="0051116A"/>
    <w:rsid w:val="0052213D"/>
    <w:rsid w:val="005234F8"/>
    <w:rsid w:val="00526AF5"/>
    <w:rsid w:val="00531C2F"/>
    <w:rsid w:val="005374F9"/>
    <w:rsid w:val="005436BF"/>
    <w:rsid w:val="005446E8"/>
    <w:rsid w:val="0054557E"/>
    <w:rsid w:val="00553B0D"/>
    <w:rsid w:val="005608FC"/>
    <w:rsid w:val="00560B6A"/>
    <w:rsid w:val="005615A5"/>
    <w:rsid w:val="005646D8"/>
    <w:rsid w:val="00567ABD"/>
    <w:rsid w:val="005746D4"/>
    <w:rsid w:val="00590E7E"/>
    <w:rsid w:val="005933FC"/>
    <w:rsid w:val="00593D7F"/>
    <w:rsid w:val="00597B35"/>
    <w:rsid w:val="005A3DCB"/>
    <w:rsid w:val="005A5EDF"/>
    <w:rsid w:val="005A7488"/>
    <w:rsid w:val="005B0A62"/>
    <w:rsid w:val="005B236E"/>
    <w:rsid w:val="005B5FB8"/>
    <w:rsid w:val="005C18CD"/>
    <w:rsid w:val="005C3056"/>
    <w:rsid w:val="005C3CC5"/>
    <w:rsid w:val="005D13F3"/>
    <w:rsid w:val="005D15EA"/>
    <w:rsid w:val="005D4A79"/>
    <w:rsid w:val="005E67C8"/>
    <w:rsid w:val="005F0003"/>
    <w:rsid w:val="005F0184"/>
    <w:rsid w:val="005F043F"/>
    <w:rsid w:val="005F0882"/>
    <w:rsid w:val="005F1A85"/>
    <w:rsid w:val="00604766"/>
    <w:rsid w:val="00614B25"/>
    <w:rsid w:val="00631DA6"/>
    <w:rsid w:val="00632A13"/>
    <w:rsid w:val="006360AE"/>
    <w:rsid w:val="006421A9"/>
    <w:rsid w:val="00642A18"/>
    <w:rsid w:val="00643CC7"/>
    <w:rsid w:val="00644C96"/>
    <w:rsid w:val="00647793"/>
    <w:rsid w:val="00660DE0"/>
    <w:rsid w:val="00661DB0"/>
    <w:rsid w:val="00671033"/>
    <w:rsid w:val="006731E6"/>
    <w:rsid w:val="006848E4"/>
    <w:rsid w:val="006852DB"/>
    <w:rsid w:val="00691E7A"/>
    <w:rsid w:val="006A35CE"/>
    <w:rsid w:val="006A3BC3"/>
    <w:rsid w:val="006A5540"/>
    <w:rsid w:val="006B6274"/>
    <w:rsid w:val="006B6E7C"/>
    <w:rsid w:val="006C2B40"/>
    <w:rsid w:val="006C604A"/>
    <w:rsid w:val="006C6C35"/>
    <w:rsid w:val="006D232F"/>
    <w:rsid w:val="006D34D0"/>
    <w:rsid w:val="006D5EA5"/>
    <w:rsid w:val="006E2638"/>
    <w:rsid w:val="006F3849"/>
    <w:rsid w:val="006F591F"/>
    <w:rsid w:val="006F62CC"/>
    <w:rsid w:val="0070141D"/>
    <w:rsid w:val="00712854"/>
    <w:rsid w:val="00716F5C"/>
    <w:rsid w:val="0071741F"/>
    <w:rsid w:val="00722999"/>
    <w:rsid w:val="00722C72"/>
    <w:rsid w:val="0072408D"/>
    <w:rsid w:val="007266DD"/>
    <w:rsid w:val="00741073"/>
    <w:rsid w:val="00753921"/>
    <w:rsid w:val="00756BE5"/>
    <w:rsid w:val="007624E0"/>
    <w:rsid w:val="007642ED"/>
    <w:rsid w:val="00775B06"/>
    <w:rsid w:val="00781304"/>
    <w:rsid w:val="007827E3"/>
    <w:rsid w:val="00785F02"/>
    <w:rsid w:val="007952C9"/>
    <w:rsid w:val="007A04D2"/>
    <w:rsid w:val="007A0AF5"/>
    <w:rsid w:val="007A51C8"/>
    <w:rsid w:val="007C0219"/>
    <w:rsid w:val="007C1009"/>
    <w:rsid w:val="007D32D6"/>
    <w:rsid w:val="007D3639"/>
    <w:rsid w:val="007E1D68"/>
    <w:rsid w:val="007F13E9"/>
    <w:rsid w:val="007F62E9"/>
    <w:rsid w:val="00804337"/>
    <w:rsid w:val="00811E62"/>
    <w:rsid w:val="00814372"/>
    <w:rsid w:val="008163B9"/>
    <w:rsid w:val="008329DF"/>
    <w:rsid w:val="008417A3"/>
    <w:rsid w:val="00842CFC"/>
    <w:rsid w:val="00845E30"/>
    <w:rsid w:val="008461E8"/>
    <w:rsid w:val="008464D1"/>
    <w:rsid w:val="008465AF"/>
    <w:rsid w:val="0085130D"/>
    <w:rsid w:val="0085489C"/>
    <w:rsid w:val="00855F09"/>
    <w:rsid w:val="00862143"/>
    <w:rsid w:val="008653EB"/>
    <w:rsid w:val="00870BD8"/>
    <w:rsid w:val="00876842"/>
    <w:rsid w:val="0087772B"/>
    <w:rsid w:val="0088032C"/>
    <w:rsid w:val="008811B6"/>
    <w:rsid w:val="00884FEB"/>
    <w:rsid w:val="0088548C"/>
    <w:rsid w:val="008B0973"/>
    <w:rsid w:val="008B173A"/>
    <w:rsid w:val="008B2472"/>
    <w:rsid w:val="008B6574"/>
    <w:rsid w:val="008C205D"/>
    <w:rsid w:val="008C288B"/>
    <w:rsid w:val="008C3BE8"/>
    <w:rsid w:val="008C49DE"/>
    <w:rsid w:val="008C4C66"/>
    <w:rsid w:val="008C72B2"/>
    <w:rsid w:val="008D5F1E"/>
    <w:rsid w:val="008D7FFB"/>
    <w:rsid w:val="008F4AD4"/>
    <w:rsid w:val="009006FC"/>
    <w:rsid w:val="009037DD"/>
    <w:rsid w:val="009111A1"/>
    <w:rsid w:val="00912B8F"/>
    <w:rsid w:val="0091379C"/>
    <w:rsid w:val="0092343A"/>
    <w:rsid w:val="00923CFD"/>
    <w:rsid w:val="009308A7"/>
    <w:rsid w:val="009419FA"/>
    <w:rsid w:val="0094260D"/>
    <w:rsid w:val="00946A71"/>
    <w:rsid w:val="00946F9F"/>
    <w:rsid w:val="009508C4"/>
    <w:rsid w:val="00950FCF"/>
    <w:rsid w:val="0095178D"/>
    <w:rsid w:val="00955956"/>
    <w:rsid w:val="00962401"/>
    <w:rsid w:val="0097092A"/>
    <w:rsid w:val="009732D5"/>
    <w:rsid w:val="00974ECE"/>
    <w:rsid w:val="00976064"/>
    <w:rsid w:val="0098697D"/>
    <w:rsid w:val="00991D64"/>
    <w:rsid w:val="0099640F"/>
    <w:rsid w:val="009965FF"/>
    <w:rsid w:val="00997BC6"/>
    <w:rsid w:val="009A10EE"/>
    <w:rsid w:val="009A2417"/>
    <w:rsid w:val="009A531A"/>
    <w:rsid w:val="009A5A66"/>
    <w:rsid w:val="009A61BD"/>
    <w:rsid w:val="009A74F6"/>
    <w:rsid w:val="009B45CD"/>
    <w:rsid w:val="009B6E1B"/>
    <w:rsid w:val="009C3B16"/>
    <w:rsid w:val="009D0F19"/>
    <w:rsid w:val="009D1F83"/>
    <w:rsid w:val="009E0240"/>
    <w:rsid w:val="009E6337"/>
    <w:rsid w:val="009E685B"/>
    <w:rsid w:val="009F11DB"/>
    <w:rsid w:val="009F1A4B"/>
    <w:rsid w:val="009F621C"/>
    <w:rsid w:val="00A01AC9"/>
    <w:rsid w:val="00A03F83"/>
    <w:rsid w:val="00A11EFB"/>
    <w:rsid w:val="00A14129"/>
    <w:rsid w:val="00A158F4"/>
    <w:rsid w:val="00A17AAB"/>
    <w:rsid w:val="00A2050C"/>
    <w:rsid w:val="00A206BF"/>
    <w:rsid w:val="00A211B1"/>
    <w:rsid w:val="00A43626"/>
    <w:rsid w:val="00A4383D"/>
    <w:rsid w:val="00A43E57"/>
    <w:rsid w:val="00A45EF4"/>
    <w:rsid w:val="00A50ABB"/>
    <w:rsid w:val="00A608B4"/>
    <w:rsid w:val="00A63EE1"/>
    <w:rsid w:val="00A65BA1"/>
    <w:rsid w:val="00A664D5"/>
    <w:rsid w:val="00A70402"/>
    <w:rsid w:val="00A7379B"/>
    <w:rsid w:val="00A76DC2"/>
    <w:rsid w:val="00A82EB6"/>
    <w:rsid w:val="00A83053"/>
    <w:rsid w:val="00A8354E"/>
    <w:rsid w:val="00A87A28"/>
    <w:rsid w:val="00A90C87"/>
    <w:rsid w:val="00AB4528"/>
    <w:rsid w:val="00AB6A72"/>
    <w:rsid w:val="00AC0909"/>
    <w:rsid w:val="00AC357C"/>
    <w:rsid w:val="00AC6758"/>
    <w:rsid w:val="00AC79F1"/>
    <w:rsid w:val="00AD08D8"/>
    <w:rsid w:val="00AE33F4"/>
    <w:rsid w:val="00AF3102"/>
    <w:rsid w:val="00AF3DCE"/>
    <w:rsid w:val="00B018D2"/>
    <w:rsid w:val="00B03F7E"/>
    <w:rsid w:val="00B0442B"/>
    <w:rsid w:val="00B13FD9"/>
    <w:rsid w:val="00B17E58"/>
    <w:rsid w:val="00B20DAA"/>
    <w:rsid w:val="00B22EB5"/>
    <w:rsid w:val="00B24279"/>
    <w:rsid w:val="00B3743F"/>
    <w:rsid w:val="00B462F3"/>
    <w:rsid w:val="00B5278F"/>
    <w:rsid w:val="00B53714"/>
    <w:rsid w:val="00B55695"/>
    <w:rsid w:val="00B573ED"/>
    <w:rsid w:val="00B60BDA"/>
    <w:rsid w:val="00B660C8"/>
    <w:rsid w:val="00B70D65"/>
    <w:rsid w:val="00B7501E"/>
    <w:rsid w:val="00BA09AB"/>
    <w:rsid w:val="00BB53F0"/>
    <w:rsid w:val="00BC023C"/>
    <w:rsid w:val="00BC0EE5"/>
    <w:rsid w:val="00BC5B58"/>
    <w:rsid w:val="00BC5F97"/>
    <w:rsid w:val="00BD433D"/>
    <w:rsid w:val="00BD4862"/>
    <w:rsid w:val="00BE019C"/>
    <w:rsid w:val="00BE1720"/>
    <w:rsid w:val="00BE2A11"/>
    <w:rsid w:val="00BF3098"/>
    <w:rsid w:val="00BF478E"/>
    <w:rsid w:val="00BF58EF"/>
    <w:rsid w:val="00BF6575"/>
    <w:rsid w:val="00C02916"/>
    <w:rsid w:val="00C22992"/>
    <w:rsid w:val="00C271DA"/>
    <w:rsid w:val="00C34022"/>
    <w:rsid w:val="00C35B0E"/>
    <w:rsid w:val="00C37942"/>
    <w:rsid w:val="00C478C9"/>
    <w:rsid w:val="00C551AE"/>
    <w:rsid w:val="00C61F12"/>
    <w:rsid w:val="00C6205F"/>
    <w:rsid w:val="00C764F6"/>
    <w:rsid w:val="00C9374E"/>
    <w:rsid w:val="00C93D77"/>
    <w:rsid w:val="00CA0551"/>
    <w:rsid w:val="00CA711A"/>
    <w:rsid w:val="00CB0B28"/>
    <w:rsid w:val="00CB19FE"/>
    <w:rsid w:val="00CB6A48"/>
    <w:rsid w:val="00CC7AF1"/>
    <w:rsid w:val="00CD2FC6"/>
    <w:rsid w:val="00CD37B7"/>
    <w:rsid w:val="00CD5A5A"/>
    <w:rsid w:val="00CE5DFA"/>
    <w:rsid w:val="00CE691C"/>
    <w:rsid w:val="00CF3463"/>
    <w:rsid w:val="00CF53C4"/>
    <w:rsid w:val="00D024A9"/>
    <w:rsid w:val="00D02C75"/>
    <w:rsid w:val="00D0543B"/>
    <w:rsid w:val="00D13AD8"/>
    <w:rsid w:val="00D13ADA"/>
    <w:rsid w:val="00D15A54"/>
    <w:rsid w:val="00D15B1D"/>
    <w:rsid w:val="00D22C65"/>
    <w:rsid w:val="00D24DF2"/>
    <w:rsid w:val="00D26F50"/>
    <w:rsid w:val="00D279C5"/>
    <w:rsid w:val="00D349E2"/>
    <w:rsid w:val="00D36429"/>
    <w:rsid w:val="00D44024"/>
    <w:rsid w:val="00D4536D"/>
    <w:rsid w:val="00D55C80"/>
    <w:rsid w:val="00D57D23"/>
    <w:rsid w:val="00D60834"/>
    <w:rsid w:val="00D60A65"/>
    <w:rsid w:val="00D65697"/>
    <w:rsid w:val="00D65AD2"/>
    <w:rsid w:val="00D664A2"/>
    <w:rsid w:val="00D750E6"/>
    <w:rsid w:val="00D7667D"/>
    <w:rsid w:val="00D82A77"/>
    <w:rsid w:val="00D8498C"/>
    <w:rsid w:val="00D94A35"/>
    <w:rsid w:val="00D96823"/>
    <w:rsid w:val="00D97441"/>
    <w:rsid w:val="00DA055D"/>
    <w:rsid w:val="00DA7FAB"/>
    <w:rsid w:val="00DB08DA"/>
    <w:rsid w:val="00DC5CF9"/>
    <w:rsid w:val="00DC6883"/>
    <w:rsid w:val="00DD1298"/>
    <w:rsid w:val="00DD3212"/>
    <w:rsid w:val="00DD5C54"/>
    <w:rsid w:val="00DD5CA0"/>
    <w:rsid w:val="00DE64EF"/>
    <w:rsid w:val="00E015A8"/>
    <w:rsid w:val="00E047FC"/>
    <w:rsid w:val="00E0648D"/>
    <w:rsid w:val="00E13AFA"/>
    <w:rsid w:val="00E14BBF"/>
    <w:rsid w:val="00E1502A"/>
    <w:rsid w:val="00E21DBE"/>
    <w:rsid w:val="00E25DF2"/>
    <w:rsid w:val="00E3012B"/>
    <w:rsid w:val="00E3053B"/>
    <w:rsid w:val="00E34A16"/>
    <w:rsid w:val="00E3518C"/>
    <w:rsid w:val="00E41CAA"/>
    <w:rsid w:val="00E5020D"/>
    <w:rsid w:val="00E66F80"/>
    <w:rsid w:val="00E7250C"/>
    <w:rsid w:val="00E75353"/>
    <w:rsid w:val="00E96D6A"/>
    <w:rsid w:val="00E97722"/>
    <w:rsid w:val="00EA151D"/>
    <w:rsid w:val="00EA4744"/>
    <w:rsid w:val="00EA475F"/>
    <w:rsid w:val="00EA60CC"/>
    <w:rsid w:val="00EB1B10"/>
    <w:rsid w:val="00EB42E2"/>
    <w:rsid w:val="00EB57A7"/>
    <w:rsid w:val="00EB5E02"/>
    <w:rsid w:val="00EC01D4"/>
    <w:rsid w:val="00EC1AB7"/>
    <w:rsid w:val="00ED0A66"/>
    <w:rsid w:val="00ED4E29"/>
    <w:rsid w:val="00ED61A6"/>
    <w:rsid w:val="00EE1C7A"/>
    <w:rsid w:val="00EE776E"/>
    <w:rsid w:val="00EF4363"/>
    <w:rsid w:val="00EF46E7"/>
    <w:rsid w:val="00F00FC8"/>
    <w:rsid w:val="00F01C64"/>
    <w:rsid w:val="00F02530"/>
    <w:rsid w:val="00F02ABB"/>
    <w:rsid w:val="00F04CDF"/>
    <w:rsid w:val="00F058EA"/>
    <w:rsid w:val="00F06D78"/>
    <w:rsid w:val="00F07B4A"/>
    <w:rsid w:val="00F11452"/>
    <w:rsid w:val="00F159DD"/>
    <w:rsid w:val="00F17BEF"/>
    <w:rsid w:val="00F23160"/>
    <w:rsid w:val="00F259BE"/>
    <w:rsid w:val="00F30EDF"/>
    <w:rsid w:val="00F34944"/>
    <w:rsid w:val="00F37629"/>
    <w:rsid w:val="00F40D30"/>
    <w:rsid w:val="00F43072"/>
    <w:rsid w:val="00F5138B"/>
    <w:rsid w:val="00F575C2"/>
    <w:rsid w:val="00F6129E"/>
    <w:rsid w:val="00F63C46"/>
    <w:rsid w:val="00F70F24"/>
    <w:rsid w:val="00F76F0E"/>
    <w:rsid w:val="00F83669"/>
    <w:rsid w:val="00F85E2F"/>
    <w:rsid w:val="00F91070"/>
    <w:rsid w:val="00F95CA8"/>
    <w:rsid w:val="00F964E5"/>
    <w:rsid w:val="00FA1ACA"/>
    <w:rsid w:val="00FA475E"/>
    <w:rsid w:val="00FA4AB4"/>
    <w:rsid w:val="00FB0D63"/>
    <w:rsid w:val="00FB3D8E"/>
    <w:rsid w:val="00FB46F7"/>
    <w:rsid w:val="00FB513F"/>
    <w:rsid w:val="00FB7CE1"/>
    <w:rsid w:val="00FC2BA7"/>
    <w:rsid w:val="00FD17DA"/>
    <w:rsid w:val="00FD43B5"/>
    <w:rsid w:val="00FD52F8"/>
    <w:rsid w:val="00FD57C0"/>
    <w:rsid w:val="00FE19D2"/>
    <w:rsid w:val="00FE59FD"/>
    <w:rsid w:val="00FE7624"/>
    <w:rsid w:val="00FF11A9"/>
    <w:rsid w:val="00FF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D0AD3B"/>
  <w15:docId w15:val="{F2913DAE-8008-4A3D-ADD4-B6DA70954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EFB"/>
    <w:rPr>
      <w:rFonts w:ascii="Arial" w:hAnsi="Arial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A11EF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rsid w:val="00ED61A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ED61A6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D02C75"/>
    <w:rPr>
      <w:color w:val="808080"/>
    </w:rPr>
  </w:style>
  <w:style w:type="paragraph" w:styleId="Encabezado">
    <w:name w:val="header"/>
    <w:basedOn w:val="Normal"/>
    <w:link w:val="EncabezadoCar"/>
    <w:rsid w:val="008513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85130D"/>
    <w:rPr>
      <w:rFonts w:ascii="Arial" w:hAnsi="Arial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D664A2"/>
    <w:rPr>
      <w:color w:val="0000FF" w:themeColor="hyperlink"/>
      <w:u w:val="single"/>
    </w:rPr>
  </w:style>
  <w:style w:type="character" w:customStyle="1" w:styleId="apple-converted-space">
    <w:name w:val="apple-converted-space"/>
    <w:basedOn w:val="Fuentedeprrafopredeter"/>
    <w:rsid w:val="00250A1C"/>
  </w:style>
  <w:style w:type="character" w:styleId="Refdecomentario">
    <w:name w:val="annotation reference"/>
    <w:basedOn w:val="Fuentedeprrafopredeter"/>
    <w:uiPriority w:val="99"/>
    <w:semiHidden/>
    <w:unhideWhenUsed/>
    <w:rsid w:val="00FF1D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1DF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1DFB"/>
    <w:rPr>
      <w:rFonts w:ascii="Arial" w:hAnsi="Arial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1D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1DFB"/>
    <w:rPr>
      <w:rFonts w:ascii="Arial" w:hAnsi="Arial"/>
      <w:b/>
      <w:bCs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C3CC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C3CC5"/>
    <w:rPr>
      <w:rFonts w:ascii="Arial" w:hAnsi="Arial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5C3CC5"/>
    <w:rPr>
      <w:vertAlign w:val="superscript"/>
    </w:rPr>
  </w:style>
  <w:style w:type="paragraph" w:styleId="Sinespaciado">
    <w:name w:val="No Spacing"/>
    <w:uiPriority w:val="1"/>
    <w:qFormat/>
    <w:rsid w:val="00CE5DFA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1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3990D-E9D5-44EC-9648-8F1CA5C11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2</Pages>
  <Words>898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 del indicador:</vt:lpstr>
    </vt:vector>
  </TitlesOfParts>
  <Company>INEE</Company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del indicador:</dc:title>
  <dc:creator>ldegante</dc:creator>
  <cp:lastModifiedBy>NAA</cp:lastModifiedBy>
  <cp:revision>256</cp:revision>
  <cp:lastPrinted>2012-11-09T21:47:00Z</cp:lastPrinted>
  <dcterms:created xsi:type="dcterms:W3CDTF">2013-11-04T18:33:00Z</dcterms:created>
  <dcterms:modified xsi:type="dcterms:W3CDTF">2019-05-27T15:20:00Z</dcterms:modified>
</cp:coreProperties>
</file>