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43DA6" w14:textId="77777777" w:rsidR="00863D39" w:rsidRPr="0064351E" w:rsidRDefault="00043E9E" w:rsidP="00863D39">
      <w:pPr>
        <w:tabs>
          <w:tab w:val="left" w:pos="1440"/>
        </w:tabs>
      </w:pPr>
      <w:r w:rsidRPr="0064351E">
        <w:rPr>
          <w:rFonts w:cs="Arial"/>
          <w:noProof/>
          <w:sz w:val="16"/>
          <w:szCs w:val="16"/>
          <w:lang w:val="es-MX" w:eastAsia="es-MX"/>
        </w:rPr>
        <mc:AlternateContent>
          <mc:Choice Requires="wps">
            <w:drawing>
              <wp:anchor distT="0" distB="0" distL="114300" distR="114300" simplePos="0" relativeHeight="251657216" behindDoc="0" locked="0" layoutInCell="1" allowOverlap="1" wp14:anchorId="741874D6" wp14:editId="694729A7">
                <wp:simplePos x="0" y="0"/>
                <wp:positionH relativeFrom="column">
                  <wp:posOffset>-50405</wp:posOffset>
                </wp:positionH>
                <wp:positionV relativeFrom="paragraph">
                  <wp:posOffset>-94100</wp:posOffset>
                </wp:positionV>
                <wp:extent cx="823784" cy="261551"/>
                <wp:effectExtent l="0" t="0" r="14605" b="2476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784" cy="261551"/>
                        </a:xfrm>
                        <a:prstGeom prst="roundRect">
                          <a:avLst>
                            <a:gd name="adj" fmla="val 16667"/>
                          </a:avLst>
                        </a:prstGeom>
                        <a:solidFill>
                          <a:srgbClr val="FFFFFF"/>
                        </a:solidFill>
                        <a:ln w="9525">
                          <a:solidFill>
                            <a:srgbClr val="000000"/>
                          </a:solidFill>
                          <a:round/>
                          <a:headEnd/>
                          <a:tailEnd/>
                        </a:ln>
                      </wps:spPr>
                      <wps:txbx>
                        <w:txbxContent>
                          <w:p w14:paraId="3AFABE29" w14:textId="77777777" w:rsidR="00863D39" w:rsidRPr="00A52849" w:rsidRDefault="00863D39" w:rsidP="00863D39">
                            <w:pPr>
                              <w:rPr>
                                <w:sz w:val="20"/>
                                <w:szCs w:val="20"/>
                              </w:rPr>
                            </w:pPr>
                            <w:r w:rsidRPr="00A52849">
                              <w:rPr>
                                <w:sz w:val="20"/>
                                <w:szCs w:val="20"/>
                                <w:lang w:val="es-MX"/>
                              </w:rPr>
                              <w:t>PG0</w:t>
                            </w:r>
                            <w:r w:rsidR="00973305">
                              <w:rPr>
                                <w:sz w:val="20"/>
                                <w:szCs w:val="20"/>
                                <w:lang w:val="es-MX"/>
                              </w:rPr>
                              <w:t>1</w:t>
                            </w:r>
                            <w:r w:rsidR="00693751">
                              <w:rPr>
                                <w:sz w:val="20"/>
                                <w:szCs w:val="20"/>
                                <w:lang w:val="es-MX"/>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41874D6" id="AutoShape 2" o:spid="_x0000_s1026" style="position:absolute;margin-left:-3.95pt;margin-top:-7.4pt;width:64.85pt;height:2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">
                <v:textbox>
                  <w:txbxContent>
                    <w:p w14:paraId="3AFABE29" w14:textId="77777777" w:rsidR="00863D39" w:rsidRPr="00A52849" w:rsidRDefault="00863D39" w:rsidP="00863D39">
                      <w:pPr>
                        <w:rPr>
                          <w:sz w:val="20"/>
                          <w:szCs w:val="20"/>
                        </w:rPr>
                      </w:pPr>
                      <w:r w:rsidRPr="00A52849">
                        <w:rPr>
                          <w:sz w:val="20"/>
                          <w:szCs w:val="20"/>
                          <w:lang w:val="es-MX"/>
                        </w:rPr>
                        <w:t>PG0</w:t>
                      </w:r>
                      <w:r w:rsidR="00973305">
                        <w:rPr>
                          <w:sz w:val="20"/>
                          <w:szCs w:val="20"/>
                          <w:lang w:val="es-MX"/>
                        </w:rPr>
                        <w:t>1</w:t>
                      </w:r>
                      <w:r w:rsidR="00693751">
                        <w:rPr>
                          <w:sz w:val="20"/>
                          <w:szCs w:val="20"/>
                          <w:lang w:val="es-MX"/>
                        </w:rPr>
                        <w:t>c</w:t>
                      </w:r>
                    </w:p>
                  </w:txbxContent>
                </v:textbox>
              </v:roundrect>
            </w:pict>
          </mc:Fallback>
        </mc:AlternateConten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350"/>
      </w:tblGrid>
      <w:tr w:rsidR="00863D39" w:rsidRPr="0064351E" w14:paraId="78FCF203" w14:textId="77777777" w:rsidTr="00FA21D7">
        <w:trPr>
          <w:trHeight w:val="698"/>
        </w:trPr>
        <w:tc>
          <w:tcPr>
            <w:tcW w:w="8350" w:type="dxa"/>
            <w:tcBorders>
              <w:top w:val="single" w:sz="4" w:space="0" w:color="auto"/>
              <w:left w:val="single" w:sz="4" w:space="0" w:color="auto"/>
              <w:bottom w:val="single" w:sz="4" w:space="0" w:color="auto"/>
              <w:right w:val="single" w:sz="4" w:space="0" w:color="auto"/>
            </w:tcBorders>
            <w:vAlign w:val="center"/>
          </w:tcPr>
          <w:p w14:paraId="19ADC51A" w14:textId="77777777" w:rsidR="00863D39" w:rsidRPr="0064351E" w:rsidRDefault="00F5257D" w:rsidP="00FA21D7">
            <w:pPr>
              <w:tabs>
                <w:tab w:val="left" w:pos="0"/>
              </w:tabs>
              <w:ind w:right="110"/>
              <w:rPr>
                <w:rFonts w:cs="Arial"/>
                <w:b/>
                <w:bCs/>
                <w:sz w:val="16"/>
                <w:szCs w:val="16"/>
              </w:rPr>
            </w:pPr>
            <w:r w:rsidRPr="0064351E">
              <w:rPr>
                <w:rFonts w:cs="Arial"/>
                <w:b/>
                <w:bCs/>
                <w:sz w:val="16"/>
                <w:szCs w:val="16"/>
              </w:rPr>
              <w:t>Nombre del indicador</w:t>
            </w:r>
          </w:p>
          <w:p w14:paraId="3A6F27F9" w14:textId="2CC2E856" w:rsidR="00863D39" w:rsidRPr="0064351E" w:rsidRDefault="00863D39" w:rsidP="000032B8">
            <w:pPr>
              <w:rPr>
                <w:rFonts w:cs="Arial"/>
                <w:sz w:val="16"/>
                <w:szCs w:val="16"/>
                <w:lang w:val="es-MX"/>
              </w:rPr>
            </w:pPr>
            <w:r w:rsidRPr="0064351E">
              <w:rPr>
                <w:rFonts w:cs="Arial"/>
                <w:sz w:val="16"/>
                <w:szCs w:val="16"/>
                <w:lang w:val="es-MX"/>
              </w:rPr>
              <w:t>Porcentaje de escuelas telesecundarias</w:t>
            </w:r>
            <w:r w:rsidR="009E3D10" w:rsidRPr="0064351E">
              <w:rPr>
                <w:rFonts w:cs="Arial"/>
                <w:sz w:val="16"/>
                <w:szCs w:val="16"/>
                <w:lang w:val="es-MX"/>
              </w:rPr>
              <w:t xml:space="preserve">, secundarias comunitarias y </w:t>
            </w:r>
            <w:r w:rsidR="00570DEA" w:rsidRPr="0064351E">
              <w:rPr>
                <w:rFonts w:cs="Arial"/>
                <w:sz w:val="16"/>
                <w:szCs w:val="16"/>
                <w:lang w:val="es-MX"/>
              </w:rPr>
              <w:t xml:space="preserve">secundarias </w:t>
            </w:r>
            <w:r w:rsidR="009E3D10" w:rsidRPr="0064351E">
              <w:rPr>
                <w:rFonts w:cs="Arial"/>
                <w:sz w:val="16"/>
                <w:szCs w:val="16"/>
                <w:lang w:val="es-MX"/>
              </w:rPr>
              <w:t xml:space="preserve">para </w:t>
            </w:r>
            <w:r w:rsidR="008F73D3" w:rsidRPr="0064351E">
              <w:rPr>
                <w:rFonts w:cs="Arial"/>
                <w:sz w:val="16"/>
                <w:szCs w:val="16"/>
                <w:lang w:val="es-MX"/>
              </w:rPr>
              <w:t>migrantes unitarias</w:t>
            </w:r>
            <w:r w:rsidRPr="0064351E">
              <w:rPr>
                <w:rFonts w:cs="Arial"/>
                <w:sz w:val="16"/>
                <w:szCs w:val="16"/>
                <w:lang w:val="es-MX"/>
              </w:rPr>
              <w:t xml:space="preserve"> </w:t>
            </w:r>
            <w:r w:rsidR="0013528A" w:rsidRPr="0064351E">
              <w:rPr>
                <w:rFonts w:cs="Arial"/>
                <w:sz w:val="16"/>
                <w:szCs w:val="16"/>
                <w:lang w:val="es-MX"/>
              </w:rPr>
              <w:t>o</w:t>
            </w:r>
            <w:r w:rsidR="00C056FE" w:rsidRPr="0064351E">
              <w:rPr>
                <w:rFonts w:cs="Arial"/>
                <w:sz w:val="16"/>
                <w:szCs w:val="16"/>
                <w:lang w:val="es-MX"/>
              </w:rPr>
              <w:t xml:space="preserve"> </w:t>
            </w:r>
            <w:r w:rsidRPr="0064351E">
              <w:rPr>
                <w:rFonts w:cs="Arial"/>
                <w:sz w:val="16"/>
                <w:szCs w:val="16"/>
                <w:lang w:val="es-MX"/>
              </w:rPr>
              <w:t xml:space="preserve">bidocentes </w:t>
            </w:r>
            <w:r w:rsidR="007F7AE5" w:rsidRPr="0064351E">
              <w:rPr>
                <w:rFonts w:cs="Arial"/>
                <w:sz w:val="16"/>
                <w:szCs w:val="16"/>
                <w:lang w:val="es-MX"/>
              </w:rPr>
              <w:t>de organización completa</w:t>
            </w:r>
          </w:p>
          <w:p w14:paraId="555D57C5" w14:textId="77777777" w:rsidR="00D05CDE" w:rsidRPr="0064351E" w:rsidRDefault="00D05CDE" w:rsidP="009E3D10">
            <w:pPr>
              <w:rPr>
                <w:rFonts w:cs="Arial"/>
                <w:sz w:val="16"/>
                <w:szCs w:val="16"/>
              </w:rPr>
            </w:pPr>
          </w:p>
        </w:tc>
      </w:tr>
      <w:tr w:rsidR="00863D39" w:rsidRPr="0064351E" w14:paraId="1BFF822C" w14:textId="77777777" w:rsidTr="00FA21D7">
        <w:trPr>
          <w:trHeight w:val="898"/>
        </w:trPr>
        <w:tc>
          <w:tcPr>
            <w:tcW w:w="8350" w:type="dxa"/>
            <w:tcBorders>
              <w:top w:val="single" w:sz="4" w:space="0" w:color="auto"/>
              <w:left w:val="single" w:sz="4" w:space="0" w:color="auto"/>
              <w:bottom w:val="single" w:sz="4" w:space="0" w:color="auto"/>
              <w:right w:val="single" w:sz="4" w:space="0" w:color="auto"/>
            </w:tcBorders>
            <w:vAlign w:val="center"/>
          </w:tcPr>
          <w:p w14:paraId="1ADD47F1" w14:textId="77777777" w:rsidR="000032B8" w:rsidRPr="0064351E" w:rsidRDefault="00F5257D" w:rsidP="00FA21D7">
            <w:pPr>
              <w:rPr>
                <w:rFonts w:cs="Arial"/>
                <w:b/>
                <w:sz w:val="16"/>
                <w:szCs w:val="16"/>
              </w:rPr>
            </w:pPr>
            <w:r w:rsidRPr="0064351E">
              <w:rPr>
                <w:rFonts w:cs="Arial"/>
                <w:b/>
                <w:sz w:val="16"/>
                <w:szCs w:val="16"/>
              </w:rPr>
              <w:t>Definición</w:t>
            </w:r>
          </w:p>
          <w:p w14:paraId="361D9CED" w14:textId="77777777" w:rsidR="00137476" w:rsidRPr="0064351E" w:rsidRDefault="00137476" w:rsidP="002F3527">
            <w:pPr>
              <w:tabs>
                <w:tab w:val="left" w:pos="0"/>
              </w:tabs>
              <w:ind w:right="110"/>
              <w:jc w:val="both"/>
              <w:rPr>
                <w:rFonts w:cs="Arial"/>
                <w:iCs/>
                <w:sz w:val="16"/>
                <w:szCs w:val="16"/>
              </w:rPr>
            </w:pPr>
          </w:p>
          <w:p w14:paraId="291A08AA" w14:textId="4418C55E" w:rsidR="00137476" w:rsidRPr="0064351E" w:rsidRDefault="00137476" w:rsidP="00137476">
            <w:pPr>
              <w:tabs>
                <w:tab w:val="left" w:pos="0"/>
              </w:tabs>
              <w:ind w:right="110"/>
              <w:jc w:val="both"/>
              <w:rPr>
                <w:rFonts w:cs="Arial"/>
                <w:iCs/>
                <w:sz w:val="16"/>
                <w:szCs w:val="16"/>
              </w:rPr>
            </w:pPr>
            <w:r w:rsidRPr="0064351E">
              <w:rPr>
                <w:rFonts w:cs="Arial"/>
                <w:iCs/>
                <w:sz w:val="16"/>
                <w:szCs w:val="16"/>
              </w:rPr>
              <w:t xml:space="preserve">Número de escuelas secundarias </w:t>
            </w:r>
            <w:r w:rsidR="007C68A0" w:rsidRPr="0064351E">
              <w:rPr>
                <w:rFonts w:cs="Arial"/>
                <w:iCs/>
                <w:sz w:val="16"/>
                <w:szCs w:val="16"/>
              </w:rPr>
              <w:t xml:space="preserve">de organización </w:t>
            </w:r>
            <w:bookmarkStart w:id="0" w:name="_GoBack"/>
            <w:r w:rsidR="007C68A0" w:rsidRPr="0064351E">
              <w:rPr>
                <w:rFonts w:cs="Arial"/>
                <w:iCs/>
                <w:sz w:val="16"/>
                <w:szCs w:val="16"/>
              </w:rPr>
              <w:t>completa</w:t>
            </w:r>
            <w:r w:rsidR="0013528A" w:rsidRPr="0064351E">
              <w:rPr>
                <w:rFonts w:cs="Arial"/>
                <w:iCs/>
                <w:sz w:val="16"/>
                <w:szCs w:val="16"/>
              </w:rPr>
              <w:t xml:space="preserve"> con </w:t>
            </w:r>
            <w:r w:rsidR="00BF66F9">
              <w:rPr>
                <w:rFonts w:cs="Arial"/>
                <w:iCs/>
                <w:sz w:val="16"/>
                <w:szCs w:val="16"/>
              </w:rPr>
              <w:t>uno</w:t>
            </w:r>
            <w:r w:rsidR="0013528A" w:rsidRPr="0064351E">
              <w:rPr>
                <w:rFonts w:cs="Arial"/>
                <w:iCs/>
                <w:sz w:val="16"/>
                <w:szCs w:val="16"/>
              </w:rPr>
              <w:t xml:space="preserve"> o</w:t>
            </w:r>
            <w:r w:rsidR="004069BB">
              <w:rPr>
                <w:rFonts w:cs="Arial"/>
                <w:iCs/>
                <w:sz w:val="16"/>
                <w:szCs w:val="16"/>
              </w:rPr>
              <w:t xml:space="preserve"> </w:t>
            </w:r>
            <w:r w:rsidR="00BF66F9">
              <w:rPr>
                <w:rFonts w:cs="Arial"/>
                <w:iCs/>
                <w:sz w:val="16"/>
                <w:szCs w:val="16"/>
              </w:rPr>
              <w:t>dos</w:t>
            </w:r>
            <w:r w:rsidR="0013528A" w:rsidRPr="0064351E">
              <w:rPr>
                <w:rFonts w:cs="Arial"/>
                <w:iCs/>
                <w:sz w:val="16"/>
                <w:szCs w:val="16"/>
              </w:rPr>
              <w:t xml:space="preserve"> profesores</w:t>
            </w:r>
            <w:r w:rsidRPr="0064351E">
              <w:rPr>
                <w:rFonts w:cs="Arial"/>
                <w:iCs/>
                <w:sz w:val="16"/>
                <w:szCs w:val="16"/>
              </w:rPr>
              <w:t xml:space="preserve"> </w:t>
            </w:r>
            <w:bookmarkEnd w:id="0"/>
            <w:r w:rsidRPr="0064351E">
              <w:rPr>
                <w:rFonts w:cs="Arial"/>
                <w:iCs/>
                <w:sz w:val="16"/>
                <w:szCs w:val="16"/>
              </w:rPr>
              <w:t>por cada cien. La escuela secundaria</w:t>
            </w:r>
            <w:r w:rsidR="00C130F0" w:rsidRPr="0064351E">
              <w:rPr>
                <w:rFonts w:cs="Arial"/>
                <w:iCs/>
                <w:sz w:val="16"/>
                <w:szCs w:val="16"/>
              </w:rPr>
              <w:t>, ya sea del tipo de servicio</w:t>
            </w:r>
            <w:r w:rsidR="008F73D3" w:rsidRPr="0064351E">
              <w:rPr>
                <w:rFonts w:cs="Arial"/>
                <w:iCs/>
                <w:sz w:val="16"/>
                <w:szCs w:val="16"/>
              </w:rPr>
              <w:t xml:space="preserve"> telesecundaria,</w:t>
            </w:r>
            <w:r w:rsidR="00C130F0" w:rsidRPr="0064351E">
              <w:rPr>
                <w:rFonts w:cs="Arial"/>
                <w:iCs/>
                <w:sz w:val="16"/>
                <w:szCs w:val="16"/>
              </w:rPr>
              <w:t xml:space="preserve"> comunitario</w:t>
            </w:r>
            <w:r w:rsidR="008F73D3" w:rsidRPr="0064351E">
              <w:rPr>
                <w:rFonts w:cs="Arial"/>
                <w:iCs/>
                <w:sz w:val="16"/>
                <w:szCs w:val="16"/>
              </w:rPr>
              <w:t xml:space="preserve"> o para migrantes</w:t>
            </w:r>
            <w:r w:rsidR="00D80ED2" w:rsidRPr="0064351E">
              <w:rPr>
                <w:rFonts w:cs="Arial"/>
                <w:iCs/>
                <w:sz w:val="16"/>
                <w:szCs w:val="16"/>
              </w:rPr>
              <w:t>,</w:t>
            </w:r>
            <w:r w:rsidRPr="0064351E">
              <w:rPr>
                <w:rFonts w:cs="Arial"/>
                <w:iCs/>
                <w:sz w:val="16"/>
                <w:szCs w:val="16"/>
              </w:rPr>
              <w:t xml:space="preserve"> es unitaria cuando un docente está al frente de los tres grados y es bidocente cuando dos profesores se encargan de todos los grados.</w:t>
            </w:r>
          </w:p>
          <w:p w14:paraId="66CB300E" w14:textId="77777777" w:rsidR="00137476" w:rsidRPr="0064351E" w:rsidRDefault="00137476" w:rsidP="002F3527">
            <w:pPr>
              <w:tabs>
                <w:tab w:val="left" w:pos="0"/>
              </w:tabs>
              <w:ind w:right="110"/>
              <w:jc w:val="both"/>
              <w:rPr>
                <w:rFonts w:cs="Arial"/>
                <w:b/>
                <w:bCs/>
                <w:sz w:val="16"/>
                <w:szCs w:val="16"/>
              </w:rPr>
            </w:pPr>
          </w:p>
        </w:tc>
      </w:tr>
      <w:tr w:rsidR="00863D39" w:rsidRPr="0064351E" w14:paraId="0EBEB574" w14:textId="77777777" w:rsidTr="00FA21D7">
        <w:trPr>
          <w:trHeight w:val="1530"/>
        </w:trPr>
        <w:tc>
          <w:tcPr>
            <w:tcW w:w="8350" w:type="dxa"/>
            <w:vMerge w:val="restart"/>
            <w:tcBorders>
              <w:top w:val="single" w:sz="4" w:space="0" w:color="auto"/>
              <w:bottom w:val="single" w:sz="4" w:space="0" w:color="auto"/>
              <w:right w:val="single" w:sz="4" w:space="0" w:color="auto"/>
            </w:tcBorders>
            <w:shd w:val="clear" w:color="auto" w:fill="auto"/>
          </w:tcPr>
          <w:p w14:paraId="343199D7" w14:textId="77777777" w:rsidR="00863D39" w:rsidRPr="0064351E" w:rsidRDefault="00F5257D" w:rsidP="00FA21D7">
            <w:pPr>
              <w:ind w:right="-70"/>
              <w:rPr>
                <w:rFonts w:cs="Arial"/>
                <w:b/>
                <w:sz w:val="16"/>
                <w:szCs w:val="16"/>
              </w:rPr>
            </w:pPr>
            <w:r w:rsidRPr="0064351E">
              <w:rPr>
                <w:rFonts w:cs="Arial"/>
                <w:b/>
                <w:sz w:val="16"/>
                <w:szCs w:val="16"/>
              </w:rPr>
              <w:t>Fórmula de cálculo</w:t>
            </w:r>
          </w:p>
          <w:p w14:paraId="6DE7AE5C" w14:textId="77777777" w:rsidR="00041EE4" w:rsidRPr="0064351E" w:rsidRDefault="00041EE4" w:rsidP="00FA21D7">
            <w:pPr>
              <w:ind w:right="-70"/>
              <w:rPr>
                <w:rFonts w:cs="Arial"/>
                <w:b/>
                <w:sz w:val="16"/>
                <w:szCs w:val="16"/>
              </w:rPr>
            </w:pPr>
          </w:p>
          <w:p w14:paraId="6C18F6C8" w14:textId="77777777" w:rsidR="00041EE4" w:rsidRPr="0064351E" w:rsidRDefault="00041EE4" w:rsidP="00041EE4">
            <w:pPr>
              <w:ind w:right="-70"/>
              <w:jc w:val="center"/>
              <w:rPr>
                <w:rFonts w:cs="Arial"/>
                <w:iCs/>
                <w:sz w:val="16"/>
                <w:szCs w:val="16"/>
              </w:rPr>
            </w:pPr>
          </w:p>
          <w:p w14:paraId="2E1C7259" w14:textId="2D7DFD1B" w:rsidR="00041EE4" w:rsidRPr="0064351E" w:rsidRDefault="00041EE4" w:rsidP="00D35B4B">
            <w:pPr>
              <w:ind w:right="-70"/>
              <w:jc w:val="center"/>
              <w:rPr>
                <w:rFonts w:cs="Arial"/>
                <w:b/>
                <w:sz w:val="16"/>
                <w:szCs w:val="16"/>
              </w:rPr>
            </w:pPr>
            <w:r w:rsidRPr="0064351E">
              <w:rPr>
                <w:rFonts w:cs="Arial"/>
                <w:iCs/>
                <w:position w:val="-30"/>
                <w:sz w:val="16"/>
                <w:szCs w:val="16"/>
              </w:rPr>
              <w:object w:dxaOrig="999" w:dyaOrig="720" w14:anchorId="6A15EB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1pt;height:40.7pt" o:ole="">
                  <v:imagedata r:id="rId8" o:title=""/>
                </v:shape>
                <o:OLEObject Type="Embed" ProgID="Equation.3" ShapeID="_x0000_i1025" DrawAspect="Content" ObjectID="_1615963896" r:id="rId9"/>
              </w:object>
            </w:r>
          </w:p>
          <w:p w14:paraId="098AA6A3" w14:textId="388AE079" w:rsidR="00D35B4B" w:rsidRPr="0064351E" w:rsidRDefault="00D35B4B" w:rsidP="00041EE4">
            <w:pPr>
              <w:ind w:right="-70"/>
              <w:jc w:val="center"/>
              <w:rPr>
                <w:rFonts w:cs="Arial"/>
                <w:b/>
                <w:sz w:val="16"/>
                <w:szCs w:val="16"/>
              </w:rPr>
            </w:pPr>
          </w:p>
          <w:p w14:paraId="42D240E6" w14:textId="77777777" w:rsidR="005D4C21" w:rsidRPr="0064351E" w:rsidRDefault="005D4C21" w:rsidP="00041EE4">
            <w:pPr>
              <w:ind w:right="-70"/>
              <w:jc w:val="center"/>
              <w:rPr>
                <w:rFonts w:cs="Arial"/>
                <w:b/>
                <w:sz w:val="16"/>
                <w:szCs w:val="16"/>
              </w:rPr>
            </w:pPr>
          </w:p>
          <w:tbl>
            <w:tblPr>
              <w:tblpPr w:leftFromText="141" w:rightFromText="141" w:vertAnchor="text" w:horzAnchor="page" w:tblpX="1992" w:tblpY="73"/>
              <w:tblOverlap w:val="never"/>
              <w:tblW w:w="5000" w:type="pct"/>
              <w:tblLayout w:type="fixed"/>
              <w:tblLook w:val="01E0" w:firstRow="1" w:lastRow="1" w:firstColumn="1" w:lastColumn="1" w:noHBand="0" w:noVBand="0"/>
            </w:tblPr>
            <w:tblGrid>
              <w:gridCol w:w="1233"/>
              <w:gridCol w:w="6977"/>
            </w:tblGrid>
            <w:tr w:rsidR="00041EE4" w:rsidRPr="0064351E" w14:paraId="55C46CBE" w14:textId="77777777" w:rsidTr="007703ED">
              <w:trPr>
                <w:trHeight w:val="130"/>
              </w:trPr>
              <w:tc>
                <w:tcPr>
                  <w:tcW w:w="751" w:type="pct"/>
                </w:tcPr>
                <w:p w14:paraId="145B8B90" w14:textId="77777777" w:rsidR="00041EE4" w:rsidRPr="0064351E" w:rsidRDefault="004161B0" w:rsidP="00041EE4">
                  <w:pPr>
                    <w:ind w:right="-70"/>
                    <w:jc w:val="center"/>
                    <w:rPr>
                      <w:rFonts w:cs="Arial"/>
                      <w:b/>
                    </w:rPr>
                  </w:pPr>
                  <w:r w:rsidRPr="0064351E">
                    <w:rPr>
                      <w:rFonts w:cs="Arial"/>
                      <w:iCs/>
                      <w:position w:val="-12"/>
                    </w:rPr>
                    <w:object w:dxaOrig="400" w:dyaOrig="380" w14:anchorId="66069BAE">
                      <v:shape id="_x0000_i1026" type="#_x0000_t75" style="width:18.15pt;height:18.15pt" o:ole="">
                        <v:imagedata r:id="rId10" o:title=""/>
                      </v:shape>
                      <o:OLEObject Type="Embed" ProgID="Equation.3" ShapeID="_x0000_i1026" DrawAspect="Content" ObjectID="_1615963897" r:id="rId11"/>
                    </w:object>
                  </w:r>
                </w:p>
              </w:tc>
              <w:tc>
                <w:tcPr>
                  <w:tcW w:w="4249" w:type="pct"/>
                  <w:tcMar>
                    <w:left w:w="57" w:type="dxa"/>
                    <w:bottom w:w="57" w:type="dxa"/>
                    <w:right w:w="57" w:type="dxa"/>
                  </w:tcMar>
                </w:tcPr>
                <w:p w14:paraId="1705D4E1" w14:textId="5D6C7637" w:rsidR="00041EE4" w:rsidRPr="0064351E" w:rsidRDefault="002900FB" w:rsidP="008767F1">
                  <w:pPr>
                    <w:ind w:right="-70"/>
                    <w:rPr>
                      <w:rFonts w:cs="Arial"/>
                      <w:sz w:val="16"/>
                      <w:szCs w:val="16"/>
                    </w:rPr>
                  </w:pPr>
                  <w:r w:rsidRPr="0064351E">
                    <w:rPr>
                      <w:rFonts w:cs="Arial"/>
                      <w:sz w:val="16"/>
                      <w:szCs w:val="16"/>
                    </w:rPr>
                    <w:t>Escuelas secundarias</w:t>
                  </w:r>
                  <w:r w:rsidR="008767F1" w:rsidRPr="0064351E">
                    <w:rPr>
                      <w:rFonts w:cs="Arial"/>
                      <w:sz w:val="16"/>
                      <w:szCs w:val="16"/>
                    </w:rPr>
                    <w:t xml:space="preserve"> unitarias o bidocentes que imparten los tres grados </w:t>
                  </w:r>
                  <w:r w:rsidR="00041EE4" w:rsidRPr="0064351E">
                    <w:rPr>
                      <w:rFonts w:cs="Arial"/>
                      <w:sz w:val="16"/>
                      <w:szCs w:val="16"/>
                    </w:rPr>
                    <w:t>en</w:t>
                  </w:r>
                  <w:r w:rsidR="00484717" w:rsidRPr="0064351E">
                    <w:rPr>
                      <w:rFonts w:cs="Arial"/>
                      <w:sz w:val="16"/>
                      <w:szCs w:val="16"/>
                    </w:rPr>
                    <w:t xml:space="preserve"> alguno de los</w:t>
                  </w:r>
                  <w:r w:rsidR="00041EE4" w:rsidRPr="0064351E">
                    <w:rPr>
                      <w:rFonts w:cs="Arial"/>
                      <w:sz w:val="16"/>
                      <w:szCs w:val="16"/>
                    </w:rPr>
                    <w:t xml:space="preserve"> tipo</w:t>
                  </w:r>
                  <w:r w:rsidR="00484717" w:rsidRPr="0064351E">
                    <w:rPr>
                      <w:rFonts w:cs="Arial"/>
                      <w:sz w:val="16"/>
                      <w:szCs w:val="16"/>
                    </w:rPr>
                    <w:t>s</w:t>
                  </w:r>
                  <w:r w:rsidR="00041EE4" w:rsidRPr="0064351E">
                    <w:rPr>
                      <w:rFonts w:cs="Arial"/>
                      <w:sz w:val="16"/>
                      <w:szCs w:val="16"/>
                    </w:rPr>
                    <w:t xml:space="preserve"> de servicio </w:t>
                  </w:r>
                  <w:proofErr w:type="spellStart"/>
                  <w:r w:rsidR="00041EE4" w:rsidRPr="0064351E">
                    <w:rPr>
                      <w:rFonts w:cs="Arial"/>
                      <w:i/>
                      <w:sz w:val="16"/>
                      <w:szCs w:val="16"/>
                    </w:rPr>
                    <w:t>ts</w:t>
                  </w:r>
                  <w:proofErr w:type="spellEnd"/>
                  <w:r w:rsidR="00041EE4" w:rsidRPr="0064351E">
                    <w:rPr>
                      <w:rFonts w:cs="Arial"/>
                      <w:sz w:val="16"/>
                      <w:szCs w:val="16"/>
                    </w:rPr>
                    <w:t>.</w:t>
                  </w:r>
                </w:p>
              </w:tc>
            </w:tr>
            <w:tr w:rsidR="00041EE4" w:rsidRPr="0064351E" w14:paraId="4B6508FC" w14:textId="77777777" w:rsidTr="007703ED">
              <w:trPr>
                <w:trHeight w:val="334"/>
              </w:trPr>
              <w:tc>
                <w:tcPr>
                  <w:tcW w:w="751" w:type="pct"/>
                </w:tcPr>
                <w:p w14:paraId="6B8C86EB" w14:textId="77777777" w:rsidR="00041EE4" w:rsidRPr="0064351E" w:rsidRDefault="00041EE4" w:rsidP="00041EE4">
                  <w:pPr>
                    <w:ind w:right="-70"/>
                    <w:jc w:val="center"/>
                    <w:rPr>
                      <w:rFonts w:ascii="Tahoma" w:hAnsi="Tahoma" w:cs="Tahoma"/>
                      <w:iCs/>
                    </w:rPr>
                  </w:pPr>
                  <w:r w:rsidRPr="0064351E">
                    <w:rPr>
                      <w:position w:val="-14"/>
                    </w:rPr>
                    <w:object w:dxaOrig="320" w:dyaOrig="400" w14:anchorId="268F61F7">
                      <v:shape id="_x0000_i1027" type="#_x0000_t75" style="width:15.65pt;height:20.05pt" o:ole="">
                        <v:imagedata r:id="rId12" o:title=""/>
                      </v:shape>
                      <o:OLEObject Type="Embed" ProgID="Equation.3" ShapeID="_x0000_i1027" DrawAspect="Content" ObjectID="_1615963898" r:id="rId13"/>
                    </w:object>
                  </w:r>
                </w:p>
              </w:tc>
              <w:tc>
                <w:tcPr>
                  <w:tcW w:w="4249" w:type="pct"/>
                  <w:tcMar>
                    <w:left w:w="57" w:type="dxa"/>
                    <w:bottom w:w="57" w:type="dxa"/>
                    <w:right w:w="57" w:type="dxa"/>
                  </w:tcMar>
                </w:tcPr>
                <w:p w14:paraId="0920D3AB" w14:textId="007C09F2" w:rsidR="00041EE4" w:rsidRPr="0064351E" w:rsidRDefault="00041EE4" w:rsidP="00041EE4">
                  <w:pPr>
                    <w:ind w:right="-70"/>
                    <w:rPr>
                      <w:rFonts w:cs="Arial"/>
                      <w:iCs/>
                      <w:sz w:val="16"/>
                      <w:szCs w:val="16"/>
                    </w:rPr>
                  </w:pPr>
                  <w:r w:rsidRPr="0064351E">
                    <w:rPr>
                      <w:rFonts w:cs="Arial"/>
                      <w:iCs/>
                      <w:sz w:val="16"/>
                      <w:szCs w:val="16"/>
                    </w:rPr>
                    <w:t>Tipo</w:t>
                  </w:r>
                  <w:r w:rsidR="002900FB" w:rsidRPr="0064351E">
                    <w:rPr>
                      <w:rFonts w:cs="Arial"/>
                      <w:iCs/>
                      <w:sz w:val="16"/>
                      <w:szCs w:val="16"/>
                    </w:rPr>
                    <w:t xml:space="preserve"> de servicio: telesecundaria, secundaria comunitaria o </w:t>
                  </w:r>
                  <w:r w:rsidR="006B1128" w:rsidRPr="0064351E">
                    <w:rPr>
                      <w:rFonts w:cs="Arial"/>
                      <w:iCs/>
                      <w:sz w:val="16"/>
                      <w:szCs w:val="16"/>
                    </w:rPr>
                    <w:t xml:space="preserve">secundaria </w:t>
                  </w:r>
                  <w:r w:rsidR="002900FB" w:rsidRPr="0064351E">
                    <w:rPr>
                      <w:rFonts w:cs="Arial"/>
                      <w:iCs/>
                      <w:sz w:val="16"/>
                      <w:szCs w:val="16"/>
                    </w:rPr>
                    <w:t>para migrantes</w:t>
                  </w:r>
                  <w:r w:rsidRPr="0064351E">
                    <w:rPr>
                      <w:rFonts w:cs="Arial"/>
                      <w:iCs/>
                      <w:sz w:val="16"/>
                      <w:szCs w:val="16"/>
                    </w:rPr>
                    <w:t>.</w:t>
                  </w:r>
                </w:p>
              </w:tc>
            </w:tr>
            <w:tr w:rsidR="00041EE4" w:rsidRPr="0064351E" w14:paraId="6444CF98" w14:textId="77777777" w:rsidTr="007703ED">
              <w:trPr>
                <w:trHeight w:val="334"/>
              </w:trPr>
              <w:tc>
                <w:tcPr>
                  <w:tcW w:w="751" w:type="pct"/>
                </w:tcPr>
                <w:p w14:paraId="7E16786B" w14:textId="77777777" w:rsidR="00041EE4" w:rsidRPr="0064351E" w:rsidRDefault="00041EE4" w:rsidP="00041EE4">
                  <w:pPr>
                    <w:ind w:right="-70"/>
                    <w:jc w:val="center"/>
                    <w:rPr>
                      <w:rFonts w:ascii="Tahoma" w:hAnsi="Tahoma" w:cs="Tahoma"/>
                      <w:iCs/>
                    </w:rPr>
                  </w:pPr>
                  <w:r w:rsidRPr="0064351E">
                    <w:rPr>
                      <w:position w:val="-12"/>
                    </w:rPr>
                    <w:object w:dxaOrig="340" w:dyaOrig="380" w14:anchorId="65AE0EF4">
                      <v:shape id="_x0000_i1028" type="#_x0000_t75" style="width:15.65pt;height:19.4pt" o:ole="">
                        <v:imagedata r:id="rId14" o:title=""/>
                      </v:shape>
                      <o:OLEObject Type="Embed" ProgID="Equation.3" ShapeID="_x0000_i1028" DrawAspect="Content" ObjectID="_1615963899" r:id="rId15"/>
                    </w:object>
                  </w:r>
                </w:p>
              </w:tc>
              <w:tc>
                <w:tcPr>
                  <w:tcW w:w="4249" w:type="pct"/>
                  <w:tcMar>
                    <w:left w:w="57" w:type="dxa"/>
                    <w:bottom w:w="57" w:type="dxa"/>
                    <w:right w:w="57" w:type="dxa"/>
                  </w:tcMar>
                </w:tcPr>
                <w:p w14:paraId="3F16AF03" w14:textId="77777777" w:rsidR="00041EE4" w:rsidRPr="0064351E" w:rsidRDefault="00041EE4" w:rsidP="00041EE4">
                  <w:pPr>
                    <w:ind w:right="-70"/>
                    <w:rPr>
                      <w:rFonts w:cs="Arial"/>
                      <w:iCs/>
                      <w:sz w:val="16"/>
                      <w:szCs w:val="16"/>
                    </w:rPr>
                  </w:pPr>
                  <w:r w:rsidRPr="0064351E">
                    <w:rPr>
                      <w:rFonts w:cs="Arial"/>
                      <w:iCs/>
                      <w:sz w:val="16"/>
                      <w:szCs w:val="16"/>
                    </w:rPr>
                    <w:t xml:space="preserve">Total de escuelas en el tipo de servicio </w:t>
                  </w:r>
                  <w:proofErr w:type="spellStart"/>
                  <w:r w:rsidRPr="0064351E">
                    <w:rPr>
                      <w:rFonts w:cs="Arial"/>
                      <w:i/>
                      <w:iCs/>
                      <w:sz w:val="16"/>
                      <w:szCs w:val="16"/>
                    </w:rPr>
                    <w:t>ts</w:t>
                  </w:r>
                  <w:proofErr w:type="spellEnd"/>
                  <w:r w:rsidRPr="0064351E">
                    <w:rPr>
                      <w:rFonts w:cs="Arial"/>
                      <w:iCs/>
                      <w:sz w:val="16"/>
                      <w:szCs w:val="16"/>
                    </w:rPr>
                    <w:t>.</w:t>
                  </w:r>
                </w:p>
              </w:tc>
            </w:tr>
          </w:tbl>
          <w:p w14:paraId="1AD23EC4" w14:textId="77777777" w:rsidR="00863D39" w:rsidRPr="0064351E" w:rsidRDefault="00863D39" w:rsidP="00FA21D7">
            <w:pPr>
              <w:rPr>
                <w:rFonts w:cs="Arial"/>
                <w:b/>
                <w:sz w:val="16"/>
                <w:szCs w:val="16"/>
              </w:rPr>
            </w:pPr>
          </w:p>
        </w:tc>
      </w:tr>
      <w:tr w:rsidR="00863D39" w:rsidRPr="0064351E" w14:paraId="59A3B981" w14:textId="77777777" w:rsidTr="00FA21D7">
        <w:trPr>
          <w:trHeight w:val="1021"/>
        </w:trPr>
        <w:tc>
          <w:tcPr>
            <w:tcW w:w="8350" w:type="dxa"/>
            <w:vMerge/>
            <w:tcBorders>
              <w:top w:val="single" w:sz="4" w:space="0" w:color="auto"/>
              <w:bottom w:val="single" w:sz="4" w:space="0" w:color="auto"/>
              <w:right w:val="single" w:sz="4" w:space="0" w:color="auto"/>
            </w:tcBorders>
            <w:shd w:val="clear" w:color="auto" w:fill="auto"/>
          </w:tcPr>
          <w:p w14:paraId="4543EB39" w14:textId="77777777" w:rsidR="00863D39" w:rsidRPr="0064351E" w:rsidRDefault="00863D39" w:rsidP="00FA21D7">
            <w:pPr>
              <w:ind w:right="-70"/>
              <w:rPr>
                <w:rFonts w:cs="Arial"/>
                <w:sz w:val="16"/>
                <w:szCs w:val="16"/>
              </w:rPr>
            </w:pPr>
          </w:p>
        </w:tc>
      </w:tr>
      <w:tr w:rsidR="00863D39" w:rsidRPr="0064351E" w14:paraId="213BA87D" w14:textId="77777777" w:rsidTr="00FA21D7">
        <w:trPr>
          <w:trHeight w:val="799"/>
        </w:trPr>
        <w:tc>
          <w:tcPr>
            <w:tcW w:w="8350" w:type="dxa"/>
            <w:tcBorders>
              <w:top w:val="single" w:sz="4" w:space="0" w:color="auto"/>
              <w:left w:val="single" w:sz="4" w:space="0" w:color="auto"/>
              <w:bottom w:val="single" w:sz="4" w:space="0" w:color="auto"/>
              <w:right w:val="single" w:sz="4" w:space="0" w:color="auto"/>
            </w:tcBorders>
            <w:shd w:val="clear" w:color="auto" w:fill="auto"/>
            <w:vAlign w:val="center"/>
          </w:tcPr>
          <w:p w14:paraId="791074DC" w14:textId="77777777" w:rsidR="000032B8" w:rsidRPr="0064351E" w:rsidRDefault="00F5257D" w:rsidP="00FA21D7">
            <w:pPr>
              <w:jc w:val="both"/>
              <w:rPr>
                <w:rFonts w:cs="Arial"/>
                <w:b/>
                <w:sz w:val="16"/>
                <w:szCs w:val="16"/>
              </w:rPr>
            </w:pPr>
            <w:r w:rsidRPr="0064351E">
              <w:rPr>
                <w:rFonts w:cs="Arial"/>
                <w:b/>
                <w:sz w:val="16"/>
                <w:szCs w:val="16"/>
              </w:rPr>
              <w:t>Interpretación</w:t>
            </w:r>
          </w:p>
          <w:p w14:paraId="07600473" w14:textId="77777777" w:rsidR="002970D2" w:rsidRPr="0064351E" w:rsidRDefault="002970D2" w:rsidP="002F3527">
            <w:pPr>
              <w:tabs>
                <w:tab w:val="left" w:pos="0"/>
              </w:tabs>
              <w:ind w:right="110"/>
              <w:jc w:val="both"/>
              <w:rPr>
                <w:rFonts w:cs="Arial"/>
                <w:sz w:val="16"/>
                <w:szCs w:val="16"/>
              </w:rPr>
            </w:pPr>
          </w:p>
          <w:p w14:paraId="0997723E" w14:textId="5C1B6EE8" w:rsidR="002970D2" w:rsidRPr="0064351E" w:rsidRDefault="002970D2" w:rsidP="002970D2">
            <w:pPr>
              <w:tabs>
                <w:tab w:val="left" w:pos="0"/>
              </w:tabs>
              <w:ind w:right="110"/>
              <w:jc w:val="both"/>
              <w:rPr>
                <w:rFonts w:cs="Arial"/>
                <w:sz w:val="16"/>
                <w:szCs w:val="16"/>
              </w:rPr>
            </w:pPr>
            <w:r w:rsidRPr="0064351E">
              <w:rPr>
                <w:rFonts w:cs="Arial"/>
                <w:sz w:val="16"/>
                <w:szCs w:val="16"/>
              </w:rPr>
              <w:t>Las escuelas telesecundarias</w:t>
            </w:r>
            <w:r w:rsidR="001814CE" w:rsidRPr="0064351E">
              <w:rPr>
                <w:rFonts w:cs="Arial"/>
                <w:sz w:val="16"/>
                <w:szCs w:val="16"/>
              </w:rPr>
              <w:t xml:space="preserve">, secundarias comunitarias y </w:t>
            </w:r>
            <w:r w:rsidR="008600E9" w:rsidRPr="0064351E">
              <w:rPr>
                <w:rFonts w:cs="Arial"/>
                <w:sz w:val="16"/>
                <w:szCs w:val="16"/>
              </w:rPr>
              <w:t xml:space="preserve">secundarias </w:t>
            </w:r>
            <w:r w:rsidR="001814CE" w:rsidRPr="0064351E">
              <w:rPr>
                <w:rFonts w:cs="Arial"/>
                <w:sz w:val="16"/>
                <w:szCs w:val="16"/>
              </w:rPr>
              <w:t xml:space="preserve">para migrantes </w:t>
            </w:r>
            <w:r w:rsidRPr="0064351E">
              <w:rPr>
                <w:rFonts w:cs="Arial"/>
                <w:sz w:val="16"/>
                <w:szCs w:val="16"/>
              </w:rPr>
              <w:t>multigrado son parte estructural del SEN</w:t>
            </w:r>
            <w:r w:rsidR="00B5587A" w:rsidRPr="0064351E">
              <w:rPr>
                <w:rFonts w:cs="Arial"/>
                <w:sz w:val="16"/>
                <w:szCs w:val="16"/>
              </w:rPr>
              <w:t>;</w:t>
            </w:r>
            <w:r w:rsidRPr="0064351E">
              <w:rPr>
                <w:rFonts w:cs="Arial"/>
                <w:sz w:val="16"/>
                <w:szCs w:val="16"/>
              </w:rPr>
              <w:t xml:space="preserve"> por medio de ellas se otorga el servicio educativo a escolares que habitan en localidades aisladas, rurales e indígenas, donde resulta incosteable establecer otras modalidades de educación secundaria. </w:t>
            </w:r>
            <w:r w:rsidR="00426421" w:rsidRPr="0064351E">
              <w:rPr>
                <w:rFonts w:cs="Arial"/>
                <w:sz w:val="16"/>
                <w:szCs w:val="16"/>
              </w:rPr>
              <w:t xml:space="preserve">En las telesecundarias </w:t>
            </w:r>
            <w:r w:rsidRPr="0064351E">
              <w:rPr>
                <w:rFonts w:cs="Arial"/>
                <w:sz w:val="16"/>
                <w:szCs w:val="16"/>
              </w:rPr>
              <w:t>se ofrece el mismo plan de estudios que en las secundarias generales y técnicas</w:t>
            </w:r>
            <w:r w:rsidR="00761C49" w:rsidRPr="0064351E">
              <w:rPr>
                <w:rFonts w:cs="Arial"/>
                <w:sz w:val="16"/>
                <w:szCs w:val="16"/>
              </w:rPr>
              <w:t xml:space="preserve">; </w:t>
            </w:r>
            <w:r w:rsidRPr="0064351E">
              <w:rPr>
                <w:rFonts w:cs="Arial"/>
                <w:sz w:val="16"/>
                <w:szCs w:val="16"/>
              </w:rPr>
              <w:t xml:space="preserve">sin embargo, los programas son adaptados para transmitirse </w:t>
            </w:r>
            <w:r w:rsidR="00FB7864" w:rsidRPr="0064351E">
              <w:rPr>
                <w:rFonts w:cs="Arial"/>
                <w:sz w:val="16"/>
                <w:szCs w:val="16"/>
              </w:rPr>
              <w:t>por</w:t>
            </w:r>
            <w:r w:rsidRPr="0064351E">
              <w:rPr>
                <w:rFonts w:cs="Arial"/>
                <w:sz w:val="16"/>
                <w:szCs w:val="16"/>
              </w:rPr>
              <w:t xml:space="preserve"> medios electrónicos y materiales impresos. A diferencia de las escuelas telesecundarias ordinarias</w:t>
            </w:r>
            <w:r w:rsidR="00FB7864" w:rsidRPr="0064351E">
              <w:rPr>
                <w:rFonts w:cs="Arial"/>
                <w:sz w:val="16"/>
                <w:szCs w:val="16"/>
              </w:rPr>
              <w:t xml:space="preserve">, </w:t>
            </w:r>
            <w:r w:rsidRPr="0064351E">
              <w:rPr>
                <w:rFonts w:cs="Arial"/>
                <w:sz w:val="16"/>
                <w:szCs w:val="16"/>
              </w:rPr>
              <w:t>donde un docente se hace cargo de un grado escolar, en las telesecundarias multigrado uno o dos docentes atienden los tres grados.</w:t>
            </w:r>
            <w:r w:rsidR="005F6FC4" w:rsidRPr="0064351E">
              <w:rPr>
                <w:rFonts w:cs="Arial"/>
                <w:sz w:val="16"/>
                <w:szCs w:val="16"/>
              </w:rPr>
              <w:t xml:space="preserve"> En cambio, </w:t>
            </w:r>
            <w:r w:rsidR="00AA689C" w:rsidRPr="0064351E">
              <w:rPr>
                <w:rFonts w:cs="Arial"/>
                <w:sz w:val="16"/>
                <w:szCs w:val="16"/>
              </w:rPr>
              <w:t xml:space="preserve">la secundaria comunitaria </w:t>
            </w:r>
            <w:r w:rsidR="00BE69BE" w:rsidRPr="0064351E">
              <w:rPr>
                <w:rFonts w:cs="Arial"/>
                <w:sz w:val="16"/>
                <w:szCs w:val="16"/>
              </w:rPr>
              <w:t xml:space="preserve">opera con un </w:t>
            </w:r>
            <w:r w:rsidR="005F6FC4" w:rsidRPr="0064351E">
              <w:rPr>
                <w:rFonts w:cs="Arial"/>
                <w:sz w:val="16"/>
                <w:szCs w:val="16"/>
              </w:rPr>
              <w:t xml:space="preserve">modelo </w:t>
            </w:r>
            <w:r w:rsidR="00BE69BE" w:rsidRPr="0064351E">
              <w:rPr>
                <w:rFonts w:cs="Arial"/>
                <w:sz w:val="16"/>
                <w:szCs w:val="16"/>
              </w:rPr>
              <w:t>que responde a la organización multigrado</w:t>
            </w:r>
            <w:r w:rsidR="001C28B3" w:rsidRPr="0064351E">
              <w:rPr>
                <w:rFonts w:cs="Arial"/>
                <w:sz w:val="16"/>
                <w:szCs w:val="16"/>
              </w:rPr>
              <w:t>,</w:t>
            </w:r>
            <w:r w:rsidR="00BE69BE" w:rsidRPr="0064351E">
              <w:rPr>
                <w:rFonts w:cs="Arial"/>
                <w:sz w:val="16"/>
                <w:szCs w:val="16"/>
              </w:rPr>
              <w:t xml:space="preserve"> ya que </w:t>
            </w:r>
            <w:r w:rsidR="005F6FC4" w:rsidRPr="0064351E">
              <w:rPr>
                <w:rFonts w:cs="Arial"/>
                <w:sz w:val="16"/>
                <w:szCs w:val="16"/>
              </w:rPr>
              <w:t xml:space="preserve">los </w:t>
            </w:r>
            <w:r w:rsidR="007C68A0" w:rsidRPr="0064351E">
              <w:rPr>
                <w:rFonts w:cs="Arial"/>
                <w:sz w:val="16"/>
                <w:szCs w:val="16"/>
              </w:rPr>
              <w:t>LEC</w:t>
            </w:r>
            <w:r w:rsidR="009E073D" w:rsidRPr="0064351E">
              <w:rPr>
                <w:rFonts w:cs="Arial"/>
                <w:sz w:val="16"/>
                <w:szCs w:val="16"/>
                <w:vertAlign w:val="superscript"/>
              </w:rPr>
              <w:t>1</w:t>
            </w:r>
            <w:r w:rsidR="00761C49" w:rsidRPr="0064351E">
              <w:rPr>
                <w:rFonts w:cs="Arial"/>
                <w:sz w:val="16"/>
                <w:szCs w:val="16"/>
              </w:rPr>
              <w:t xml:space="preserve"> </w:t>
            </w:r>
            <w:r w:rsidR="005F6FC4" w:rsidRPr="0064351E">
              <w:rPr>
                <w:rFonts w:cs="Arial"/>
                <w:sz w:val="16"/>
                <w:szCs w:val="16"/>
              </w:rPr>
              <w:t>están capacitados</w:t>
            </w:r>
            <w:r w:rsidR="00D93FD5" w:rsidRPr="0064351E">
              <w:rPr>
                <w:rFonts w:cs="Arial"/>
                <w:sz w:val="16"/>
                <w:szCs w:val="16"/>
              </w:rPr>
              <w:t xml:space="preserve"> para atender en una misma aula</w:t>
            </w:r>
            <w:r w:rsidR="005130FE" w:rsidRPr="0064351E">
              <w:rPr>
                <w:rFonts w:cs="Arial"/>
                <w:sz w:val="16"/>
                <w:szCs w:val="16"/>
              </w:rPr>
              <w:t xml:space="preserve"> a</w:t>
            </w:r>
            <w:r w:rsidR="00D93FD5" w:rsidRPr="0064351E">
              <w:rPr>
                <w:rFonts w:cs="Arial"/>
                <w:sz w:val="16"/>
                <w:szCs w:val="16"/>
              </w:rPr>
              <w:t xml:space="preserve"> estudiantes de varios grados en los niveles</w:t>
            </w:r>
            <w:r w:rsidR="008901A3" w:rsidRPr="0064351E">
              <w:rPr>
                <w:rFonts w:cs="Arial"/>
                <w:sz w:val="16"/>
                <w:szCs w:val="16"/>
              </w:rPr>
              <w:t xml:space="preserve"> en los que está organizado este servicio</w:t>
            </w:r>
            <w:r w:rsidR="00011664" w:rsidRPr="0064351E">
              <w:rPr>
                <w:rFonts w:cs="Arial"/>
                <w:sz w:val="16"/>
                <w:szCs w:val="16"/>
              </w:rPr>
              <w:t xml:space="preserve">, además de que </w:t>
            </w:r>
            <w:r w:rsidR="001C28B3" w:rsidRPr="0064351E">
              <w:rPr>
                <w:rFonts w:cs="Arial"/>
                <w:sz w:val="16"/>
                <w:szCs w:val="16"/>
              </w:rPr>
              <w:t>cuentan c</w:t>
            </w:r>
            <w:r w:rsidR="00011664" w:rsidRPr="0064351E">
              <w:rPr>
                <w:rFonts w:cs="Arial"/>
                <w:sz w:val="16"/>
                <w:szCs w:val="16"/>
              </w:rPr>
              <w:t xml:space="preserve">on materiales pedagógicos y </w:t>
            </w:r>
            <w:r w:rsidR="001C28B3" w:rsidRPr="0064351E">
              <w:rPr>
                <w:rFonts w:cs="Arial"/>
                <w:sz w:val="16"/>
                <w:szCs w:val="16"/>
              </w:rPr>
              <w:t>una estru</w:t>
            </w:r>
            <w:r w:rsidR="00011664" w:rsidRPr="0064351E">
              <w:rPr>
                <w:rFonts w:cs="Arial"/>
                <w:sz w:val="16"/>
                <w:szCs w:val="16"/>
              </w:rPr>
              <w:t>ctura de acompañamiento docente</w:t>
            </w:r>
            <w:r w:rsidR="001C28B3" w:rsidRPr="0064351E">
              <w:rPr>
                <w:rFonts w:cs="Arial"/>
                <w:sz w:val="16"/>
                <w:szCs w:val="16"/>
              </w:rPr>
              <w:t xml:space="preserve"> apropiados para aplicar el modelo multigrado.</w:t>
            </w:r>
            <w:r w:rsidR="00713098" w:rsidRPr="0064351E">
              <w:rPr>
                <w:rFonts w:cs="Arial"/>
                <w:sz w:val="16"/>
                <w:szCs w:val="16"/>
              </w:rPr>
              <w:t xml:space="preserve"> </w:t>
            </w:r>
            <w:r w:rsidR="00570DEA" w:rsidRPr="0064351E">
              <w:rPr>
                <w:rFonts w:cs="Arial"/>
                <w:sz w:val="16"/>
                <w:szCs w:val="16"/>
              </w:rPr>
              <w:t>Por su parte</w:t>
            </w:r>
            <w:r w:rsidR="00761C49" w:rsidRPr="0064351E">
              <w:rPr>
                <w:rFonts w:cs="Arial"/>
                <w:sz w:val="16"/>
                <w:szCs w:val="16"/>
              </w:rPr>
              <w:t xml:space="preserve">, </w:t>
            </w:r>
            <w:r w:rsidR="00713098" w:rsidRPr="0064351E">
              <w:rPr>
                <w:rFonts w:cs="Arial"/>
                <w:sz w:val="16"/>
                <w:szCs w:val="16"/>
              </w:rPr>
              <w:t>las secundarias para migrantes</w:t>
            </w:r>
            <w:r w:rsidR="00A873C7" w:rsidRPr="0064351E">
              <w:rPr>
                <w:rFonts w:cs="Arial"/>
                <w:sz w:val="16"/>
                <w:szCs w:val="16"/>
              </w:rPr>
              <w:t>, ubicadas en campamentos o campos agrícolas,</w:t>
            </w:r>
            <w:r w:rsidR="00713098" w:rsidRPr="0064351E">
              <w:rPr>
                <w:rFonts w:cs="Arial"/>
                <w:sz w:val="16"/>
                <w:szCs w:val="16"/>
              </w:rPr>
              <w:t xml:space="preserve"> </w:t>
            </w:r>
            <w:r w:rsidR="00CE2074" w:rsidRPr="0064351E">
              <w:rPr>
                <w:rFonts w:cs="Arial"/>
                <w:sz w:val="16"/>
                <w:szCs w:val="16"/>
              </w:rPr>
              <w:t xml:space="preserve">están </w:t>
            </w:r>
            <w:r w:rsidR="00713098" w:rsidRPr="0064351E">
              <w:rPr>
                <w:rFonts w:cs="Arial"/>
                <w:sz w:val="16"/>
                <w:szCs w:val="16"/>
              </w:rPr>
              <w:t xml:space="preserve">dirigidas a </w:t>
            </w:r>
            <w:r w:rsidR="00761C49" w:rsidRPr="0064351E">
              <w:rPr>
                <w:rFonts w:cs="Arial"/>
                <w:sz w:val="16"/>
                <w:szCs w:val="16"/>
              </w:rPr>
              <w:t>n</w:t>
            </w:r>
            <w:r w:rsidR="00713098" w:rsidRPr="0064351E">
              <w:rPr>
                <w:rFonts w:cs="Arial"/>
                <w:sz w:val="16"/>
                <w:szCs w:val="16"/>
              </w:rPr>
              <w:t xml:space="preserve">iñas, </w:t>
            </w:r>
            <w:r w:rsidR="00761C49" w:rsidRPr="0064351E">
              <w:rPr>
                <w:rFonts w:cs="Arial"/>
                <w:sz w:val="16"/>
                <w:szCs w:val="16"/>
              </w:rPr>
              <w:t>n</w:t>
            </w:r>
            <w:r w:rsidR="00713098" w:rsidRPr="0064351E">
              <w:rPr>
                <w:rFonts w:cs="Arial"/>
                <w:sz w:val="16"/>
                <w:szCs w:val="16"/>
              </w:rPr>
              <w:t xml:space="preserve">iños y </w:t>
            </w:r>
            <w:r w:rsidR="00761C49" w:rsidRPr="0064351E">
              <w:rPr>
                <w:rFonts w:cs="Arial"/>
                <w:sz w:val="16"/>
                <w:szCs w:val="16"/>
              </w:rPr>
              <w:t>a</w:t>
            </w:r>
            <w:r w:rsidR="00713098" w:rsidRPr="0064351E">
              <w:rPr>
                <w:rFonts w:cs="Arial"/>
                <w:sz w:val="16"/>
                <w:szCs w:val="16"/>
              </w:rPr>
              <w:t>dolescentes</w:t>
            </w:r>
            <w:r w:rsidR="00CE2074" w:rsidRPr="0064351E">
              <w:rPr>
                <w:rFonts w:cs="Arial"/>
                <w:sz w:val="16"/>
                <w:szCs w:val="16"/>
              </w:rPr>
              <w:t xml:space="preserve"> </w:t>
            </w:r>
            <w:r w:rsidR="00713098" w:rsidRPr="0064351E">
              <w:rPr>
                <w:rFonts w:cs="Arial"/>
                <w:sz w:val="16"/>
                <w:szCs w:val="16"/>
              </w:rPr>
              <w:t>de familias de jornaleros agrícolas migrantes.</w:t>
            </w:r>
          </w:p>
          <w:p w14:paraId="12066C6C" w14:textId="77777777" w:rsidR="002970D2" w:rsidRPr="0064351E" w:rsidRDefault="002970D2" w:rsidP="002F3527">
            <w:pPr>
              <w:tabs>
                <w:tab w:val="left" w:pos="0"/>
              </w:tabs>
              <w:ind w:right="110"/>
              <w:jc w:val="both"/>
              <w:rPr>
                <w:rFonts w:cs="Arial"/>
                <w:sz w:val="16"/>
                <w:szCs w:val="16"/>
              </w:rPr>
            </w:pPr>
          </w:p>
          <w:p w14:paraId="1B7A320B" w14:textId="23A13DCA" w:rsidR="002970D2" w:rsidRPr="0064351E" w:rsidRDefault="002970D2" w:rsidP="002F3527">
            <w:pPr>
              <w:tabs>
                <w:tab w:val="left" w:pos="0"/>
              </w:tabs>
              <w:ind w:right="110"/>
              <w:jc w:val="both"/>
              <w:rPr>
                <w:rFonts w:cs="Arial"/>
                <w:sz w:val="16"/>
                <w:szCs w:val="16"/>
              </w:rPr>
            </w:pPr>
            <w:r w:rsidRPr="0064351E">
              <w:rPr>
                <w:rFonts w:cs="Arial"/>
                <w:sz w:val="16"/>
                <w:szCs w:val="16"/>
              </w:rPr>
              <w:t xml:space="preserve">Conforme a estas condiciones, por lo general, los profesores o instructores no cuentan con materiales adecuados para la enseñanza multigrado y no siempre </w:t>
            </w:r>
            <w:r w:rsidR="008901A3" w:rsidRPr="0064351E">
              <w:rPr>
                <w:rFonts w:cs="Arial"/>
                <w:sz w:val="16"/>
                <w:szCs w:val="16"/>
              </w:rPr>
              <w:t>están</w:t>
            </w:r>
            <w:r w:rsidRPr="0064351E">
              <w:rPr>
                <w:rFonts w:cs="Arial"/>
                <w:sz w:val="16"/>
                <w:szCs w:val="16"/>
              </w:rPr>
              <w:t xml:space="preserve"> debidamente capacitados y apoyados por el SEN con la asistencia pedagógica necesaria para enfrentar este reto, situación que conlleva a prestar un servicio educativo deficiente, inequitativo y limitado para la obtención de niveles de logro aceptables</w:t>
            </w:r>
            <w:r w:rsidR="00530057" w:rsidRPr="0064351E">
              <w:rPr>
                <w:rFonts w:cs="Arial"/>
                <w:sz w:val="16"/>
                <w:szCs w:val="16"/>
              </w:rPr>
              <w:t>.</w:t>
            </w:r>
            <w:r w:rsidRPr="0064351E">
              <w:rPr>
                <w:rFonts w:cs="Arial"/>
                <w:sz w:val="16"/>
                <w:szCs w:val="16"/>
              </w:rPr>
              <w:t xml:space="preserve"> </w:t>
            </w:r>
          </w:p>
          <w:p w14:paraId="39DE9C6C" w14:textId="77777777" w:rsidR="002970D2" w:rsidRPr="0064351E" w:rsidRDefault="002970D2" w:rsidP="002F3527">
            <w:pPr>
              <w:tabs>
                <w:tab w:val="left" w:pos="0"/>
              </w:tabs>
              <w:ind w:right="110"/>
              <w:jc w:val="both"/>
              <w:rPr>
                <w:rFonts w:cs="Arial"/>
                <w:sz w:val="16"/>
                <w:szCs w:val="16"/>
              </w:rPr>
            </w:pPr>
          </w:p>
          <w:p w14:paraId="2C23BF91" w14:textId="77777777" w:rsidR="002970D2" w:rsidRPr="0064351E" w:rsidRDefault="002970D2" w:rsidP="002970D2">
            <w:pPr>
              <w:tabs>
                <w:tab w:val="left" w:pos="0"/>
              </w:tabs>
              <w:ind w:right="110"/>
              <w:jc w:val="both"/>
              <w:rPr>
                <w:rFonts w:cs="Arial"/>
                <w:sz w:val="16"/>
                <w:szCs w:val="16"/>
              </w:rPr>
            </w:pPr>
            <w:r w:rsidRPr="0064351E">
              <w:rPr>
                <w:rFonts w:cs="Arial"/>
                <w:sz w:val="16"/>
                <w:szCs w:val="16"/>
              </w:rPr>
              <w:t>De acuerdo con lo anterior, los resultados del indicador muestran y focalizan la cantidad de escuelas telesecundarias</w:t>
            </w:r>
            <w:r w:rsidR="00344632" w:rsidRPr="0064351E">
              <w:rPr>
                <w:rFonts w:cs="Arial"/>
                <w:sz w:val="16"/>
                <w:szCs w:val="16"/>
              </w:rPr>
              <w:t>, comunitarias y para migrantes</w:t>
            </w:r>
            <w:r w:rsidRPr="0064351E">
              <w:rPr>
                <w:rFonts w:cs="Arial"/>
                <w:sz w:val="16"/>
                <w:szCs w:val="16"/>
              </w:rPr>
              <w:t xml:space="preserve"> que a nivel nacional y por entidad federativa ofrecen el tipo de servicio multigrado. En la medida que aumenta el porcentaje, el indicador señala la existencia de un mayor número de escuelas que operan en las condiciones de inequidad señaladas.</w:t>
            </w:r>
          </w:p>
          <w:p w14:paraId="7278D977" w14:textId="77777777" w:rsidR="002F3527" w:rsidRPr="0064351E" w:rsidRDefault="002F3527" w:rsidP="002F3527">
            <w:pPr>
              <w:tabs>
                <w:tab w:val="left" w:pos="0"/>
              </w:tabs>
              <w:ind w:right="110"/>
              <w:jc w:val="both"/>
              <w:rPr>
                <w:rFonts w:cs="Arial"/>
                <w:iCs/>
                <w:sz w:val="16"/>
                <w:szCs w:val="16"/>
              </w:rPr>
            </w:pPr>
          </w:p>
        </w:tc>
      </w:tr>
      <w:tr w:rsidR="00863D39" w:rsidRPr="0064351E" w14:paraId="576A99AA" w14:textId="77777777" w:rsidTr="00FA21D7">
        <w:trPr>
          <w:trHeight w:val="647"/>
        </w:trPr>
        <w:tc>
          <w:tcPr>
            <w:tcW w:w="8350" w:type="dxa"/>
            <w:tcBorders>
              <w:top w:val="single" w:sz="4" w:space="0" w:color="auto"/>
              <w:left w:val="single" w:sz="4" w:space="0" w:color="auto"/>
              <w:bottom w:val="single" w:sz="4" w:space="0" w:color="auto"/>
              <w:right w:val="single" w:sz="4" w:space="0" w:color="auto"/>
            </w:tcBorders>
            <w:shd w:val="clear" w:color="auto" w:fill="auto"/>
          </w:tcPr>
          <w:p w14:paraId="08BB7970" w14:textId="77777777" w:rsidR="005E379F" w:rsidRPr="0064351E" w:rsidRDefault="00F5257D" w:rsidP="00E83055">
            <w:pPr>
              <w:jc w:val="both"/>
              <w:rPr>
                <w:rFonts w:cs="Arial"/>
                <w:iCs/>
                <w:sz w:val="16"/>
                <w:szCs w:val="16"/>
              </w:rPr>
            </w:pPr>
            <w:r w:rsidRPr="0064351E">
              <w:rPr>
                <w:rFonts w:cs="Arial"/>
                <w:b/>
                <w:sz w:val="16"/>
                <w:szCs w:val="16"/>
              </w:rPr>
              <w:t>Utilidad</w:t>
            </w:r>
          </w:p>
          <w:p w14:paraId="1B2E6FBE" w14:textId="77777777" w:rsidR="009700C0" w:rsidRPr="0064351E" w:rsidRDefault="009700C0" w:rsidP="002F3527">
            <w:pPr>
              <w:jc w:val="both"/>
              <w:rPr>
                <w:rFonts w:cs="Arial"/>
                <w:iCs/>
                <w:sz w:val="16"/>
                <w:szCs w:val="16"/>
              </w:rPr>
            </w:pPr>
          </w:p>
          <w:p w14:paraId="5F818C63" w14:textId="4B9571C3" w:rsidR="009700C0" w:rsidRPr="0064351E" w:rsidRDefault="009700C0" w:rsidP="009700C0">
            <w:pPr>
              <w:jc w:val="both"/>
              <w:rPr>
                <w:rFonts w:cs="Arial"/>
                <w:iCs/>
                <w:sz w:val="16"/>
                <w:szCs w:val="16"/>
              </w:rPr>
            </w:pPr>
            <w:r w:rsidRPr="0064351E">
              <w:rPr>
                <w:rFonts w:cs="Arial"/>
                <w:iCs/>
                <w:sz w:val="16"/>
                <w:szCs w:val="16"/>
              </w:rPr>
              <w:t xml:space="preserve">La presencia de altos porcentajes en este indicador debe </w:t>
            </w:r>
            <w:r w:rsidR="006A523F" w:rsidRPr="0064351E">
              <w:rPr>
                <w:rFonts w:cs="Arial"/>
                <w:iCs/>
                <w:sz w:val="16"/>
                <w:szCs w:val="16"/>
              </w:rPr>
              <w:t>impulsar</w:t>
            </w:r>
            <w:r w:rsidR="0026703F" w:rsidRPr="0064351E">
              <w:rPr>
                <w:rFonts w:cs="Arial"/>
                <w:iCs/>
                <w:sz w:val="16"/>
                <w:szCs w:val="16"/>
              </w:rPr>
              <w:t xml:space="preserve"> </w:t>
            </w:r>
            <w:r w:rsidRPr="0064351E">
              <w:rPr>
                <w:rFonts w:cs="Arial"/>
                <w:iCs/>
                <w:sz w:val="16"/>
                <w:szCs w:val="16"/>
              </w:rPr>
              <w:t>a los tomadores de decisi</w:t>
            </w:r>
            <w:r w:rsidR="0026703F" w:rsidRPr="0064351E">
              <w:rPr>
                <w:rFonts w:cs="Arial"/>
                <w:iCs/>
                <w:sz w:val="16"/>
                <w:szCs w:val="16"/>
              </w:rPr>
              <w:t>ones</w:t>
            </w:r>
            <w:r w:rsidRPr="0064351E">
              <w:rPr>
                <w:rFonts w:cs="Arial"/>
                <w:iCs/>
                <w:sz w:val="16"/>
                <w:szCs w:val="16"/>
              </w:rPr>
              <w:t xml:space="preserve"> en política educativa a instrumentar estrategias de organización escolar y pedagógica que mejoren la oferta educativa de las secundarias</w:t>
            </w:r>
            <w:r w:rsidR="003E2F1F" w:rsidRPr="0064351E">
              <w:rPr>
                <w:rFonts w:cs="Arial"/>
                <w:iCs/>
                <w:sz w:val="16"/>
                <w:szCs w:val="16"/>
              </w:rPr>
              <w:t xml:space="preserve"> unitarias y bidocentes</w:t>
            </w:r>
            <w:r w:rsidR="00FB7864" w:rsidRPr="0064351E">
              <w:rPr>
                <w:rFonts w:cs="Arial"/>
                <w:iCs/>
                <w:sz w:val="16"/>
                <w:szCs w:val="16"/>
              </w:rPr>
              <w:t>,</w:t>
            </w:r>
            <w:r w:rsidRPr="0064351E">
              <w:rPr>
                <w:rFonts w:cs="Arial"/>
                <w:iCs/>
                <w:sz w:val="16"/>
                <w:szCs w:val="16"/>
              </w:rPr>
              <w:t xml:space="preserve"> y de esta manera se garantice también la equidad para los estudiantes que acuden a ellas</w:t>
            </w:r>
            <w:r w:rsidR="00530057" w:rsidRPr="0064351E">
              <w:rPr>
                <w:rFonts w:cs="Arial"/>
                <w:iCs/>
                <w:sz w:val="16"/>
                <w:szCs w:val="16"/>
              </w:rPr>
              <w:t>.</w:t>
            </w:r>
          </w:p>
          <w:p w14:paraId="07F38CEE" w14:textId="77777777" w:rsidR="009700C0" w:rsidRPr="0064351E" w:rsidRDefault="009700C0" w:rsidP="002F3527">
            <w:pPr>
              <w:jc w:val="both"/>
              <w:rPr>
                <w:rFonts w:cs="Arial"/>
                <w:iCs/>
                <w:sz w:val="16"/>
                <w:szCs w:val="16"/>
              </w:rPr>
            </w:pPr>
          </w:p>
          <w:p w14:paraId="25724D92" w14:textId="3E86243F" w:rsidR="009700C0" w:rsidRPr="0064351E" w:rsidRDefault="009700C0" w:rsidP="009700C0">
            <w:pPr>
              <w:jc w:val="both"/>
              <w:rPr>
                <w:rFonts w:cs="Arial"/>
                <w:iCs/>
                <w:sz w:val="16"/>
                <w:szCs w:val="16"/>
              </w:rPr>
            </w:pPr>
            <w:r w:rsidRPr="0064351E">
              <w:rPr>
                <w:rFonts w:cs="Arial"/>
                <w:iCs/>
                <w:sz w:val="16"/>
                <w:szCs w:val="16"/>
              </w:rPr>
              <w:t>El presente indicador ayuda a dimensionar est</w:t>
            </w:r>
            <w:r w:rsidR="00863EEB" w:rsidRPr="0064351E">
              <w:rPr>
                <w:rFonts w:cs="Arial"/>
                <w:iCs/>
                <w:sz w:val="16"/>
                <w:szCs w:val="16"/>
              </w:rPr>
              <w:t>e</w:t>
            </w:r>
            <w:r w:rsidRPr="0064351E">
              <w:rPr>
                <w:rFonts w:cs="Arial"/>
                <w:iCs/>
                <w:sz w:val="16"/>
                <w:szCs w:val="16"/>
              </w:rPr>
              <w:t xml:space="preserve"> problema a nivel nacional, así como a cuantificar y focalizar las secundarias multigrado en las entidades federativas. De manera indirecta, esto hace notar la magnitud de los esfuerzos que deben realizar las autoridades estatales para satisfacer la necesidad de docentes que tienen las telesecundarias</w:t>
            </w:r>
            <w:r w:rsidR="00E1405A" w:rsidRPr="0064351E">
              <w:rPr>
                <w:rFonts w:cs="Arial"/>
                <w:iCs/>
                <w:sz w:val="16"/>
                <w:szCs w:val="16"/>
              </w:rPr>
              <w:t xml:space="preserve">, secundarias comunitarias y </w:t>
            </w:r>
            <w:r w:rsidR="008600E9" w:rsidRPr="0064351E">
              <w:rPr>
                <w:rFonts w:cs="Arial"/>
                <w:iCs/>
                <w:sz w:val="16"/>
                <w:szCs w:val="16"/>
              </w:rPr>
              <w:t xml:space="preserve">secundarias </w:t>
            </w:r>
            <w:r w:rsidR="00E1405A" w:rsidRPr="0064351E">
              <w:rPr>
                <w:rFonts w:cs="Arial"/>
                <w:iCs/>
                <w:sz w:val="16"/>
                <w:szCs w:val="16"/>
              </w:rPr>
              <w:t>para migrantes</w:t>
            </w:r>
            <w:r w:rsidRPr="0064351E">
              <w:rPr>
                <w:rFonts w:cs="Arial"/>
                <w:iCs/>
                <w:sz w:val="16"/>
                <w:szCs w:val="16"/>
              </w:rPr>
              <w:t>; la cantidad de recursos humanos a formar y capacitar en el modelo multigrado; la asignación de asesores pedagógicos, directores y supervisores que atiendan el mejoramiento; la distribución oportuna de materiales didácticos adecuados a dicho modelo, así como la disposición de diversos apoyos para los docentes.</w:t>
            </w:r>
          </w:p>
          <w:p w14:paraId="2D169BFA" w14:textId="77777777" w:rsidR="005E379F" w:rsidRPr="0064351E" w:rsidRDefault="005E379F" w:rsidP="002F3527">
            <w:pPr>
              <w:jc w:val="both"/>
              <w:rPr>
                <w:rFonts w:cs="Arial"/>
                <w:sz w:val="16"/>
                <w:szCs w:val="16"/>
                <w:lang w:val="es-MX"/>
              </w:rPr>
            </w:pPr>
          </w:p>
        </w:tc>
      </w:tr>
      <w:tr w:rsidR="00863D39" w:rsidRPr="0064351E" w14:paraId="73FA5926" w14:textId="77777777" w:rsidTr="00FA21D7">
        <w:trPr>
          <w:trHeight w:val="352"/>
        </w:trPr>
        <w:tc>
          <w:tcPr>
            <w:tcW w:w="8350" w:type="dxa"/>
            <w:tcBorders>
              <w:top w:val="single" w:sz="4" w:space="0" w:color="auto"/>
              <w:left w:val="single" w:sz="4" w:space="0" w:color="auto"/>
              <w:bottom w:val="single" w:sz="4" w:space="0" w:color="auto"/>
              <w:right w:val="single" w:sz="4" w:space="0" w:color="auto"/>
            </w:tcBorders>
            <w:shd w:val="clear" w:color="auto" w:fill="auto"/>
          </w:tcPr>
          <w:p w14:paraId="2F95F26A" w14:textId="77777777" w:rsidR="00863D39" w:rsidRPr="0064351E" w:rsidRDefault="00863D39" w:rsidP="00FA21D7">
            <w:pPr>
              <w:jc w:val="both"/>
              <w:rPr>
                <w:rFonts w:cs="Arial"/>
                <w:b/>
                <w:sz w:val="16"/>
                <w:szCs w:val="16"/>
              </w:rPr>
            </w:pPr>
            <w:r w:rsidRPr="0064351E">
              <w:rPr>
                <w:rFonts w:cs="Arial"/>
                <w:b/>
                <w:sz w:val="16"/>
                <w:szCs w:val="16"/>
              </w:rPr>
              <w:t>Ofrece elementos para evaluar las siguientes dime</w:t>
            </w:r>
            <w:r w:rsidR="00F5257D" w:rsidRPr="0064351E">
              <w:rPr>
                <w:rFonts w:cs="Arial"/>
                <w:b/>
                <w:sz w:val="16"/>
                <w:szCs w:val="16"/>
              </w:rPr>
              <w:t>nsiones de la calidad educativa</w:t>
            </w:r>
          </w:p>
          <w:p w14:paraId="26819650" w14:textId="04F5EBEC" w:rsidR="00863D39" w:rsidRPr="0064351E" w:rsidRDefault="00863D39" w:rsidP="00FA21D7">
            <w:pPr>
              <w:jc w:val="both"/>
              <w:rPr>
                <w:rFonts w:cs="Arial"/>
                <w:sz w:val="16"/>
                <w:szCs w:val="16"/>
              </w:rPr>
            </w:pPr>
            <w:r w:rsidRPr="0064351E">
              <w:rPr>
                <w:rFonts w:cs="Arial"/>
                <w:sz w:val="16"/>
                <w:szCs w:val="16"/>
              </w:rPr>
              <w:t>Suficiencia, eficacia y equidad</w:t>
            </w:r>
          </w:p>
          <w:p w14:paraId="547051AE" w14:textId="77777777" w:rsidR="005E379F" w:rsidRPr="0064351E" w:rsidRDefault="005E379F" w:rsidP="00FA21D7">
            <w:pPr>
              <w:jc w:val="both"/>
              <w:rPr>
                <w:rFonts w:cs="Arial"/>
                <w:b/>
                <w:sz w:val="16"/>
                <w:szCs w:val="16"/>
              </w:rPr>
            </w:pPr>
          </w:p>
        </w:tc>
      </w:tr>
      <w:tr w:rsidR="00863D39" w:rsidRPr="0064351E" w14:paraId="3AC14EFA" w14:textId="77777777" w:rsidTr="00AB4D3B">
        <w:trPr>
          <w:trHeight w:val="350"/>
        </w:trPr>
        <w:tc>
          <w:tcPr>
            <w:tcW w:w="8350" w:type="dxa"/>
            <w:tcBorders>
              <w:top w:val="single" w:sz="4" w:space="0" w:color="auto"/>
              <w:left w:val="single" w:sz="4" w:space="0" w:color="auto"/>
              <w:bottom w:val="single" w:sz="4" w:space="0" w:color="auto"/>
              <w:right w:val="single" w:sz="4" w:space="0" w:color="auto"/>
            </w:tcBorders>
            <w:shd w:val="clear" w:color="auto" w:fill="auto"/>
          </w:tcPr>
          <w:p w14:paraId="663AF7F2" w14:textId="77777777" w:rsidR="00863D39" w:rsidRPr="0064351E" w:rsidRDefault="00863D39" w:rsidP="00FA21D7">
            <w:pPr>
              <w:rPr>
                <w:rFonts w:cs="Arial"/>
                <w:b/>
                <w:sz w:val="16"/>
                <w:szCs w:val="16"/>
              </w:rPr>
            </w:pPr>
            <w:r w:rsidRPr="0064351E">
              <w:rPr>
                <w:rFonts w:cs="Arial"/>
                <w:b/>
                <w:sz w:val="16"/>
                <w:szCs w:val="16"/>
              </w:rPr>
              <w:t>Desagregación</w:t>
            </w:r>
          </w:p>
          <w:p w14:paraId="7F46E38A" w14:textId="0E8FAB2C" w:rsidR="00BD0F6C" w:rsidRPr="0064351E" w:rsidRDefault="008D3C22" w:rsidP="00EF77A3">
            <w:pPr>
              <w:jc w:val="both"/>
              <w:rPr>
                <w:rFonts w:cs="Arial"/>
                <w:sz w:val="16"/>
                <w:szCs w:val="16"/>
              </w:rPr>
            </w:pPr>
            <w:r w:rsidRPr="0064351E">
              <w:rPr>
                <w:rFonts w:cs="Arial"/>
                <w:sz w:val="16"/>
                <w:szCs w:val="16"/>
              </w:rPr>
              <w:t xml:space="preserve">Este indicador se presenta en las siguientes desagregaciones: </w:t>
            </w:r>
            <w:r w:rsidR="00EC3329" w:rsidRPr="0064351E">
              <w:rPr>
                <w:rFonts w:cs="Arial"/>
                <w:sz w:val="16"/>
                <w:szCs w:val="16"/>
              </w:rPr>
              <w:t>e</w:t>
            </w:r>
            <w:r w:rsidR="00EF77A3" w:rsidRPr="0064351E">
              <w:rPr>
                <w:rFonts w:cs="Arial"/>
                <w:sz w:val="16"/>
                <w:szCs w:val="16"/>
              </w:rPr>
              <w:t>ntidad federativa y</w:t>
            </w:r>
            <w:r w:rsidR="00AB4D3B" w:rsidRPr="0064351E">
              <w:rPr>
                <w:rFonts w:cs="Arial"/>
                <w:sz w:val="16"/>
                <w:szCs w:val="16"/>
              </w:rPr>
              <w:t xml:space="preserve"> telesecundarias</w:t>
            </w:r>
            <w:r w:rsidR="00E1405A" w:rsidRPr="0064351E">
              <w:rPr>
                <w:rFonts w:cs="Arial"/>
                <w:sz w:val="16"/>
                <w:szCs w:val="16"/>
              </w:rPr>
              <w:t xml:space="preserve">, secundarias comunitarias y </w:t>
            </w:r>
            <w:r w:rsidR="008600E9" w:rsidRPr="0064351E">
              <w:rPr>
                <w:rFonts w:cs="Arial"/>
                <w:sz w:val="16"/>
                <w:szCs w:val="16"/>
              </w:rPr>
              <w:t xml:space="preserve">secundarias </w:t>
            </w:r>
            <w:r w:rsidR="00E1405A" w:rsidRPr="0064351E">
              <w:rPr>
                <w:rFonts w:cs="Arial"/>
                <w:sz w:val="16"/>
                <w:szCs w:val="16"/>
              </w:rPr>
              <w:t>para migrantes</w:t>
            </w:r>
            <w:r w:rsidR="004B0ACA" w:rsidRPr="0064351E">
              <w:rPr>
                <w:rFonts w:cs="Arial"/>
                <w:sz w:val="16"/>
                <w:szCs w:val="16"/>
              </w:rPr>
              <w:t xml:space="preserve"> unitarias y bidocen</w:t>
            </w:r>
            <w:r w:rsidR="00DA1615" w:rsidRPr="0064351E">
              <w:rPr>
                <w:rFonts w:cs="Arial"/>
                <w:sz w:val="16"/>
                <w:szCs w:val="16"/>
              </w:rPr>
              <w:t>tes.</w:t>
            </w:r>
            <w:r w:rsidR="00EC3329" w:rsidRPr="0064351E">
              <w:rPr>
                <w:rFonts w:cs="Arial"/>
                <w:sz w:val="16"/>
                <w:szCs w:val="16"/>
              </w:rPr>
              <w:t xml:space="preserve"> </w:t>
            </w:r>
          </w:p>
          <w:p w14:paraId="5D942329" w14:textId="77777777" w:rsidR="005403C4" w:rsidRPr="0064351E" w:rsidRDefault="005403C4" w:rsidP="008D3C22">
            <w:pPr>
              <w:ind w:right="-70"/>
              <w:jc w:val="both"/>
              <w:rPr>
                <w:rFonts w:cs="Arial"/>
                <w:sz w:val="16"/>
                <w:szCs w:val="16"/>
              </w:rPr>
            </w:pPr>
          </w:p>
          <w:p w14:paraId="39EC1C4F" w14:textId="3A43F85A" w:rsidR="008D3C22" w:rsidRPr="0064351E" w:rsidRDefault="005403C4" w:rsidP="00E81935">
            <w:pPr>
              <w:pStyle w:val="Prrafodelista"/>
              <w:numPr>
                <w:ilvl w:val="0"/>
                <w:numId w:val="1"/>
              </w:numPr>
              <w:ind w:left="170" w:hanging="170"/>
              <w:jc w:val="both"/>
              <w:rPr>
                <w:rFonts w:cs="Arial"/>
                <w:sz w:val="16"/>
                <w:szCs w:val="16"/>
              </w:rPr>
            </w:pPr>
            <w:r w:rsidRPr="0064351E">
              <w:rPr>
                <w:rFonts w:cs="Arial"/>
                <w:b/>
                <w:sz w:val="16"/>
                <w:szCs w:val="16"/>
              </w:rPr>
              <w:t>Máximo nivel de desagregación</w:t>
            </w:r>
            <w:r w:rsidR="0061678A" w:rsidRPr="0064351E">
              <w:rPr>
                <w:rFonts w:cs="Arial"/>
                <w:b/>
                <w:sz w:val="16"/>
                <w:szCs w:val="16"/>
              </w:rPr>
              <w:t xml:space="preserve">: </w:t>
            </w:r>
            <w:r w:rsidR="0061678A" w:rsidRPr="0064351E">
              <w:rPr>
                <w:rFonts w:cs="Arial"/>
                <w:sz w:val="16"/>
                <w:szCs w:val="16"/>
              </w:rPr>
              <w:t>e</w:t>
            </w:r>
            <w:r w:rsidRPr="0064351E">
              <w:rPr>
                <w:rFonts w:cs="Arial"/>
                <w:sz w:val="16"/>
                <w:szCs w:val="16"/>
              </w:rPr>
              <w:t>scuela</w:t>
            </w:r>
            <w:r w:rsidR="008D3C22" w:rsidRPr="0064351E">
              <w:rPr>
                <w:rFonts w:cs="Arial"/>
                <w:sz w:val="16"/>
                <w:szCs w:val="16"/>
              </w:rPr>
              <w:t xml:space="preserve"> </w:t>
            </w:r>
          </w:p>
          <w:p w14:paraId="3206E42F" w14:textId="77777777" w:rsidR="00BD0F6C" w:rsidRPr="0064351E" w:rsidRDefault="00BD0F6C" w:rsidP="00E81935">
            <w:pPr>
              <w:ind w:left="170" w:hanging="170"/>
              <w:jc w:val="both"/>
              <w:rPr>
                <w:rFonts w:cs="Arial"/>
                <w:sz w:val="16"/>
                <w:szCs w:val="16"/>
              </w:rPr>
            </w:pPr>
          </w:p>
          <w:p w14:paraId="4D6C9E9D" w14:textId="77777777" w:rsidR="00B878FD" w:rsidRPr="0064351E" w:rsidRDefault="00863D39" w:rsidP="00EF77A3">
            <w:pPr>
              <w:spacing w:before="120" w:after="60"/>
              <w:ind w:right="108"/>
              <w:jc w:val="both"/>
              <w:rPr>
                <w:rFonts w:cs="Arial"/>
                <w:b/>
                <w:sz w:val="16"/>
                <w:szCs w:val="16"/>
              </w:rPr>
            </w:pPr>
            <w:r w:rsidRPr="0064351E">
              <w:rPr>
                <w:rFonts w:cs="Arial"/>
                <w:b/>
                <w:sz w:val="16"/>
                <w:szCs w:val="16"/>
              </w:rPr>
              <w:t>Fuente</w:t>
            </w:r>
            <w:r w:rsidR="00B878FD" w:rsidRPr="0064351E">
              <w:rPr>
                <w:rFonts w:cs="Arial"/>
                <w:b/>
                <w:sz w:val="16"/>
                <w:szCs w:val="16"/>
              </w:rPr>
              <w:t xml:space="preserve"> de información</w:t>
            </w:r>
            <w:r w:rsidRPr="0064351E">
              <w:rPr>
                <w:rFonts w:cs="Arial"/>
                <w:b/>
                <w:sz w:val="16"/>
                <w:szCs w:val="16"/>
              </w:rPr>
              <w:t xml:space="preserve"> </w:t>
            </w:r>
          </w:p>
          <w:p w14:paraId="50141875" w14:textId="77777777" w:rsidR="00863D39" w:rsidRPr="0064351E" w:rsidRDefault="00074EC6" w:rsidP="00B01D2B">
            <w:pPr>
              <w:spacing w:before="120" w:after="60"/>
              <w:ind w:right="108"/>
              <w:jc w:val="both"/>
              <w:rPr>
                <w:rFonts w:cs="Arial"/>
                <w:sz w:val="20"/>
                <w:szCs w:val="20"/>
              </w:rPr>
            </w:pPr>
            <w:r w:rsidRPr="0064351E">
              <w:rPr>
                <w:rFonts w:cs="Arial"/>
                <w:sz w:val="16"/>
                <w:szCs w:val="16"/>
              </w:rPr>
              <w:t>SEP-</w:t>
            </w:r>
            <w:proofErr w:type="spellStart"/>
            <w:r w:rsidRPr="0064351E">
              <w:rPr>
                <w:rFonts w:cs="Arial"/>
                <w:sz w:val="16"/>
                <w:szCs w:val="16"/>
              </w:rPr>
              <w:t>DGPPyEE</w:t>
            </w:r>
            <w:proofErr w:type="spellEnd"/>
            <w:r w:rsidRPr="0064351E">
              <w:rPr>
                <w:rFonts w:cs="Arial"/>
                <w:sz w:val="16"/>
                <w:szCs w:val="16"/>
              </w:rPr>
              <w:t xml:space="preserve"> (2018).</w:t>
            </w:r>
            <w:r w:rsidRPr="0064351E">
              <w:rPr>
                <w:rFonts w:cs="Arial"/>
                <w:i/>
                <w:iCs/>
                <w:sz w:val="16"/>
                <w:szCs w:val="16"/>
              </w:rPr>
              <w:t xml:space="preserve"> </w:t>
            </w:r>
            <w:r w:rsidRPr="0064351E">
              <w:rPr>
                <w:rFonts w:cs="Arial"/>
                <w:iCs/>
                <w:sz w:val="16"/>
                <w:szCs w:val="16"/>
              </w:rPr>
              <w:t>Estadísticas Continuas del Formato 911</w:t>
            </w:r>
            <w:r w:rsidRPr="0064351E">
              <w:rPr>
                <w:rFonts w:cs="Arial"/>
                <w:i/>
                <w:sz w:val="16"/>
                <w:szCs w:val="16"/>
              </w:rPr>
              <w:t xml:space="preserve"> </w:t>
            </w:r>
            <w:r w:rsidRPr="0064351E">
              <w:rPr>
                <w:rFonts w:cs="Arial"/>
                <w:sz w:val="16"/>
                <w:szCs w:val="16"/>
              </w:rPr>
              <w:t>(ciclo escolar 2017-2018</w:t>
            </w:r>
            <w:r w:rsidRPr="0064351E">
              <w:rPr>
                <w:rFonts w:cs="Arial"/>
                <w:sz w:val="20"/>
                <w:szCs w:val="20"/>
              </w:rPr>
              <w:t>).</w:t>
            </w:r>
          </w:p>
          <w:p w14:paraId="1D2A4617" w14:textId="4C429257" w:rsidR="009E073D" w:rsidRPr="0064351E" w:rsidRDefault="009E073D" w:rsidP="00B01D2B">
            <w:pPr>
              <w:spacing w:before="120" w:after="60"/>
              <w:ind w:right="108"/>
              <w:jc w:val="both"/>
              <w:rPr>
                <w:rFonts w:cs="Arial"/>
                <w:b/>
                <w:sz w:val="16"/>
                <w:szCs w:val="16"/>
              </w:rPr>
            </w:pPr>
            <w:r w:rsidRPr="0064351E">
              <w:rPr>
                <w:rFonts w:cs="Arial"/>
                <w:b/>
                <w:sz w:val="16"/>
                <w:szCs w:val="16"/>
              </w:rPr>
              <w:t>Nota</w:t>
            </w:r>
          </w:p>
          <w:p w14:paraId="0F629B85" w14:textId="6826A408" w:rsidR="009E073D" w:rsidRPr="0064351E" w:rsidRDefault="00DA122B" w:rsidP="009E073D">
            <w:pPr>
              <w:pStyle w:val="Textonotapie"/>
              <w:jc w:val="both"/>
              <w:rPr>
                <w:rFonts w:cs="Arial"/>
                <w:sz w:val="12"/>
                <w:szCs w:val="12"/>
              </w:rPr>
            </w:pPr>
            <w:r w:rsidRPr="0064351E">
              <w:rPr>
                <w:rFonts w:cs="Arial"/>
                <w:sz w:val="12"/>
                <w:szCs w:val="12"/>
                <w:vertAlign w:val="superscript"/>
              </w:rPr>
              <w:t>1</w:t>
            </w:r>
            <w:r w:rsidRPr="0064351E">
              <w:rPr>
                <w:rFonts w:cs="Arial"/>
                <w:sz w:val="12"/>
                <w:szCs w:val="12"/>
              </w:rPr>
              <w:t xml:space="preserve"> </w:t>
            </w:r>
            <w:r w:rsidR="009E073D" w:rsidRPr="0064351E">
              <w:rPr>
                <w:rFonts w:cs="Arial"/>
                <w:sz w:val="12"/>
                <w:szCs w:val="12"/>
              </w:rPr>
              <w:t xml:space="preserve">Se trata de jóvenes de entre 16 y 29 años, egresados de educación secundaria, media superior o superior, que imparten clases a estudiantes de educación preescolar, primaria o secundaria como parte de su servicio social, el cual tiene una duración de uno o dos años. Específicamente se desempeñan en escuelas atendidas por el </w:t>
            </w:r>
            <w:proofErr w:type="spellStart"/>
            <w:r w:rsidR="009E073D" w:rsidRPr="0064351E">
              <w:rPr>
                <w:rFonts w:cs="Arial"/>
                <w:smallCaps/>
                <w:sz w:val="12"/>
                <w:szCs w:val="12"/>
              </w:rPr>
              <w:t>Conafe</w:t>
            </w:r>
            <w:proofErr w:type="spellEnd"/>
            <w:r w:rsidR="009E073D" w:rsidRPr="0064351E">
              <w:rPr>
                <w:rFonts w:cs="Arial"/>
                <w:sz w:val="12"/>
                <w:szCs w:val="12"/>
              </w:rPr>
              <w:t xml:space="preserve">, ubicadas en pequeñas comunidades rurales o indígenas, en campamentos agrícolas y en circos. </w:t>
            </w:r>
          </w:p>
          <w:p w14:paraId="5B0DC812" w14:textId="45D52647" w:rsidR="009E073D" w:rsidRPr="0064351E" w:rsidRDefault="009E073D" w:rsidP="00B01D2B">
            <w:pPr>
              <w:spacing w:before="120" w:after="60"/>
              <w:ind w:right="108"/>
              <w:jc w:val="both"/>
              <w:rPr>
                <w:rFonts w:cs="Arial"/>
                <w:sz w:val="12"/>
                <w:szCs w:val="12"/>
              </w:rPr>
            </w:pPr>
          </w:p>
        </w:tc>
      </w:tr>
    </w:tbl>
    <w:p w14:paraId="24FFB100" w14:textId="77777777" w:rsidR="0077698B" w:rsidRPr="0064351E" w:rsidRDefault="0077698B"/>
    <w:p w14:paraId="00362139" w14:textId="77777777" w:rsidR="002E5A4F" w:rsidRPr="0064351E" w:rsidRDefault="002E5A4F"/>
    <w:p w14:paraId="37A5417A" w14:textId="77777777" w:rsidR="002E5A4F" w:rsidRPr="0064351E" w:rsidRDefault="002E5A4F"/>
    <w:p w14:paraId="59CDC0E2" w14:textId="77777777" w:rsidR="002E5A4F" w:rsidRPr="0064351E" w:rsidRDefault="002E5A4F"/>
    <w:p w14:paraId="456D84FA" w14:textId="77777777" w:rsidR="002E5A4F" w:rsidRPr="0064351E" w:rsidRDefault="002E5A4F"/>
    <w:p w14:paraId="159353B9" w14:textId="77777777" w:rsidR="002E5A4F" w:rsidRPr="0064351E" w:rsidRDefault="002E5A4F"/>
    <w:p w14:paraId="4FFF9F12" w14:textId="77777777" w:rsidR="0003585A" w:rsidRDefault="00043E9E">
      <w:r w:rsidRPr="0064351E">
        <w:rPr>
          <w:noProof/>
          <w:lang w:val="es-MX" w:eastAsia="es-MX"/>
        </w:rPr>
        <mc:AlternateContent>
          <mc:Choice Requires="wps">
            <w:drawing>
              <wp:anchor distT="0" distB="0" distL="114300" distR="114300" simplePos="0" relativeHeight="251658240" behindDoc="0" locked="0" layoutInCell="1" allowOverlap="1" wp14:anchorId="14E5807B" wp14:editId="71C6A7E5">
                <wp:simplePos x="0" y="0"/>
                <wp:positionH relativeFrom="column">
                  <wp:posOffset>551155</wp:posOffset>
                </wp:positionH>
                <wp:positionV relativeFrom="paragraph">
                  <wp:posOffset>55042</wp:posOffset>
                </wp:positionV>
                <wp:extent cx="4763135" cy="3460089"/>
                <wp:effectExtent l="0" t="0" r="18415" b="2667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3135" cy="3460089"/>
                        </a:xfrm>
                        <a:prstGeom prst="roundRect">
                          <a:avLst>
                            <a:gd name="adj" fmla="val 16667"/>
                          </a:avLst>
                        </a:prstGeom>
                        <a:solidFill>
                          <a:srgbClr val="FFFFFF"/>
                        </a:solidFill>
                        <a:ln w="9525">
                          <a:solidFill>
                            <a:srgbClr val="000000"/>
                          </a:solidFill>
                          <a:round/>
                          <a:headEnd/>
                          <a:tailEnd/>
                        </a:ln>
                      </wps:spPr>
                      <wps:txbx>
                        <w:txbxContent>
                          <w:p w14:paraId="72F985AE" w14:textId="78F7D6AC" w:rsidR="00566B81" w:rsidRPr="0054404C" w:rsidRDefault="00566B81" w:rsidP="00566B81">
                            <w:pPr>
                              <w:ind w:right="108"/>
                              <w:rPr>
                                <w:rFonts w:cs="Arial"/>
                                <w:b/>
                                <w:sz w:val="16"/>
                                <w:szCs w:val="16"/>
                              </w:rPr>
                            </w:pPr>
                            <w:r w:rsidRPr="0054404C">
                              <w:rPr>
                                <w:rFonts w:cs="Arial"/>
                                <w:b/>
                                <w:sz w:val="16"/>
                                <w:szCs w:val="16"/>
                              </w:rPr>
                              <w:t>Información de referencia</w:t>
                            </w:r>
                          </w:p>
                          <w:p w14:paraId="698A5C18" w14:textId="301184AA" w:rsidR="00877537" w:rsidRPr="00414FE7" w:rsidRDefault="00566B81" w:rsidP="00566B81">
                            <w:pPr>
                              <w:ind w:right="108"/>
                              <w:jc w:val="center"/>
                              <w:rPr>
                                <w:rFonts w:cs="Arial"/>
                                <w:sz w:val="16"/>
                                <w:szCs w:val="16"/>
                                <w:lang w:val="es-MX"/>
                              </w:rPr>
                            </w:pPr>
                            <w:r w:rsidRPr="0026703F">
                              <w:rPr>
                                <w:rFonts w:cs="Arial"/>
                                <w:sz w:val="16"/>
                                <w:szCs w:val="16"/>
                                <w:lang w:val="es-MX"/>
                              </w:rPr>
                              <w:t>Porcentaje de escuelas telesecundarias</w:t>
                            </w:r>
                            <w:r w:rsidR="002E005D" w:rsidRPr="0026703F">
                              <w:rPr>
                                <w:rFonts w:cs="Arial"/>
                                <w:sz w:val="16"/>
                                <w:szCs w:val="16"/>
                                <w:lang w:val="es-MX"/>
                              </w:rPr>
                              <w:t xml:space="preserve">, </w:t>
                            </w:r>
                            <w:r w:rsidR="002E005D" w:rsidRPr="0097750B">
                              <w:rPr>
                                <w:rFonts w:cs="Arial"/>
                                <w:sz w:val="16"/>
                                <w:szCs w:val="16"/>
                                <w:lang w:val="es-MX"/>
                              </w:rPr>
                              <w:t xml:space="preserve">secundarias comunitarias </w:t>
                            </w:r>
                            <w:r w:rsidR="002E005D" w:rsidRPr="00203739">
                              <w:rPr>
                                <w:rFonts w:cs="Arial"/>
                                <w:sz w:val="16"/>
                                <w:szCs w:val="16"/>
                                <w:lang w:val="es-MX"/>
                              </w:rPr>
                              <w:t xml:space="preserve">y </w:t>
                            </w:r>
                            <w:r w:rsidR="00A873C7" w:rsidRPr="00B80E34">
                              <w:rPr>
                                <w:rFonts w:cs="Arial"/>
                                <w:sz w:val="16"/>
                                <w:szCs w:val="16"/>
                                <w:lang w:val="es-MX"/>
                              </w:rPr>
                              <w:t xml:space="preserve">secundarias </w:t>
                            </w:r>
                            <w:r w:rsidR="002E005D" w:rsidRPr="00B80E34">
                              <w:rPr>
                                <w:rFonts w:cs="Arial"/>
                                <w:sz w:val="16"/>
                                <w:szCs w:val="16"/>
                                <w:lang w:val="es-MX"/>
                              </w:rPr>
                              <w:t>para migrantes</w:t>
                            </w:r>
                            <w:r w:rsidRPr="00B80E34">
                              <w:rPr>
                                <w:rFonts w:cs="Arial"/>
                                <w:sz w:val="16"/>
                                <w:szCs w:val="16"/>
                                <w:lang w:val="es-MX"/>
                              </w:rPr>
                              <w:t xml:space="preserve"> unitarias y bidocentes</w:t>
                            </w:r>
                            <w:r w:rsidR="00E45AF3" w:rsidRPr="00B80E34">
                              <w:rPr>
                                <w:rFonts w:cs="Arial"/>
                                <w:sz w:val="16"/>
                                <w:szCs w:val="16"/>
                                <w:lang w:val="es-MX"/>
                              </w:rPr>
                              <w:t xml:space="preserve"> </w:t>
                            </w:r>
                            <w:r w:rsidR="002D2F7B" w:rsidRPr="00B80E34">
                              <w:rPr>
                                <w:rFonts w:cs="Arial"/>
                                <w:sz w:val="16"/>
                                <w:szCs w:val="16"/>
                                <w:lang w:val="es-MX"/>
                              </w:rPr>
                              <w:t xml:space="preserve">de </w:t>
                            </w:r>
                            <w:r w:rsidR="002D2F7B" w:rsidRPr="00414FE7">
                              <w:rPr>
                                <w:rFonts w:cs="Arial"/>
                                <w:sz w:val="16"/>
                                <w:szCs w:val="16"/>
                                <w:lang w:val="es-MX"/>
                              </w:rPr>
                              <w:t>organización completa</w:t>
                            </w:r>
                            <w:r w:rsidR="007D7D98" w:rsidRPr="00414FE7">
                              <w:rPr>
                                <w:rFonts w:cs="Arial"/>
                                <w:sz w:val="16"/>
                                <w:szCs w:val="16"/>
                                <w:lang w:val="es-MX"/>
                              </w:rPr>
                              <w:t xml:space="preserve"> </w:t>
                            </w:r>
                            <w:r w:rsidRPr="00414FE7">
                              <w:rPr>
                                <w:rFonts w:cs="Arial"/>
                                <w:sz w:val="16"/>
                                <w:szCs w:val="16"/>
                                <w:lang w:val="es-MX"/>
                              </w:rPr>
                              <w:t xml:space="preserve">respecto al total nacional </w:t>
                            </w:r>
                            <w:r w:rsidR="00451006" w:rsidRPr="00414FE7">
                              <w:rPr>
                                <w:rFonts w:cs="Arial"/>
                                <w:sz w:val="16"/>
                                <w:szCs w:val="16"/>
                                <w:lang w:val="es-MX"/>
                              </w:rPr>
                              <w:t xml:space="preserve">de cada tipo de </w:t>
                            </w:r>
                            <w:r w:rsidR="0082033E" w:rsidRPr="00414FE7">
                              <w:rPr>
                                <w:rFonts w:cs="Arial"/>
                                <w:sz w:val="16"/>
                                <w:szCs w:val="16"/>
                                <w:lang w:val="es-MX"/>
                              </w:rPr>
                              <w:t>servicio</w:t>
                            </w:r>
                            <w:r w:rsidR="007D7D98" w:rsidRPr="00414FE7">
                              <w:rPr>
                                <w:rFonts w:cs="Arial"/>
                                <w:sz w:val="16"/>
                                <w:szCs w:val="16"/>
                                <w:lang w:val="es-MX"/>
                              </w:rPr>
                              <w:t xml:space="preserve"> (201</w:t>
                            </w:r>
                            <w:r w:rsidR="00840285" w:rsidRPr="00414FE7">
                              <w:rPr>
                                <w:rFonts w:cs="Arial"/>
                                <w:sz w:val="16"/>
                                <w:szCs w:val="16"/>
                                <w:lang w:val="es-MX"/>
                              </w:rPr>
                              <w:t>7</w:t>
                            </w:r>
                            <w:r w:rsidR="007D7D98" w:rsidRPr="00414FE7">
                              <w:rPr>
                                <w:rFonts w:cs="Arial"/>
                                <w:sz w:val="16"/>
                                <w:szCs w:val="16"/>
                                <w:lang w:val="es-MX"/>
                              </w:rPr>
                              <w:t>-201</w:t>
                            </w:r>
                            <w:r w:rsidR="00840285" w:rsidRPr="00414FE7">
                              <w:rPr>
                                <w:rFonts w:cs="Arial"/>
                                <w:sz w:val="16"/>
                                <w:szCs w:val="16"/>
                                <w:lang w:val="es-MX"/>
                              </w:rPr>
                              <w:t>8</w:t>
                            </w:r>
                            <w:r w:rsidR="007D7D98" w:rsidRPr="00414FE7">
                              <w:rPr>
                                <w:rFonts w:cs="Arial"/>
                                <w:sz w:val="16"/>
                                <w:szCs w:val="16"/>
                                <w:lang w:val="es-MX"/>
                              </w:rPr>
                              <w:t>)</w:t>
                            </w:r>
                          </w:p>
                          <w:p w14:paraId="7BFBF688" w14:textId="77777777" w:rsidR="0003585A" w:rsidRPr="00414FE7" w:rsidRDefault="0003585A" w:rsidP="00566B81">
                            <w:pPr>
                              <w:ind w:right="108"/>
                              <w:jc w:val="center"/>
                              <w:rPr>
                                <w:rFonts w:cs="Arial"/>
                                <w:sz w:val="16"/>
                                <w:szCs w:val="16"/>
                                <w:lang w:val="es-MX"/>
                              </w:rPr>
                            </w:pPr>
                          </w:p>
                          <w:p w14:paraId="00525E8B" w14:textId="51221275" w:rsidR="00C74AEE" w:rsidRPr="00414FE7" w:rsidRDefault="00C74AEE" w:rsidP="00566B81">
                            <w:pPr>
                              <w:ind w:right="108"/>
                              <w:jc w:val="center"/>
                              <w:rPr>
                                <w:rFonts w:ascii="Times New Roman" w:hAnsi="Times New Roman"/>
                                <w:sz w:val="20"/>
                                <w:szCs w:val="20"/>
                                <w:lang w:val="es-MX" w:eastAsia="es-MX"/>
                              </w:rPr>
                            </w:pPr>
                            <w:r w:rsidRPr="00414FE7">
                              <w:rPr>
                                <w:lang w:val="es-MX"/>
                              </w:rPr>
                              <w:fldChar w:fldCharType="begin"/>
                            </w:r>
                            <w:r w:rsidRPr="00414FE7">
                              <w:rPr>
                                <w:lang w:val="es-MX"/>
                              </w:rPr>
                              <w:instrText xml:space="preserve"> LINK Excel.Sheet.12 "Libro1" "Hoja1!F12C1:F19C5" \a \f 4 \h </w:instrText>
                            </w:r>
                            <w:r w:rsidR="00E32AAC" w:rsidRPr="00414FE7">
                              <w:rPr>
                                <w:lang w:val="es-MX"/>
                              </w:rPr>
                              <w:instrText xml:space="preserve"> \* MERGEFORMAT </w:instrText>
                            </w:r>
                            <w:r w:rsidRPr="00414FE7">
                              <w:rPr>
                                <w:lang w:val="es-MX"/>
                              </w:rPr>
                              <w:fldChar w:fldCharType="separate"/>
                            </w:r>
                          </w:p>
                          <w:tbl>
                            <w:tblPr>
                              <w:tblW w:w="6440" w:type="dxa"/>
                              <w:tblCellMar>
                                <w:left w:w="70" w:type="dxa"/>
                                <w:right w:w="70" w:type="dxa"/>
                              </w:tblCellMar>
                              <w:tblLook w:val="04A0" w:firstRow="1" w:lastRow="0" w:firstColumn="1" w:lastColumn="0" w:noHBand="0" w:noVBand="1"/>
                            </w:tblPr>
                            <w:tblGrid>
                              <w:gridCol w:w="1640"/>
                              <w:gridCol w:w="1200"/>
                              <w:gridCol w:w="1200"/>
                              <w:gridCol w:w="1200"/>
                              <w:gridCol w:w="1200"/>
                            </w:tblGrid>
                            <w:tr w:rsidR="00C74AEE" w:rsidRPr="00414FE7" w14:paraId="2267DC0A" w14:textId="77777777" w:rsidTr="00C74AEE">
                              <w:trPr>
                                <w:trHeight w:val="300"/>
                              </w:trPr>
                              <w:tc>
                                <w:tcPr>
                                  <w:tcW w:w="64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1AD72" w14:textId="549D56DA" w:rsidR="00C74AEE" w:rsidRPr="00414FE7" w:rsidRDefault="007915C6" w:rsidP="00840285">
                                  <w:pPr>
                                    <w:jc w:val="center"/>
                                    <w:rPr>
                                      <w:rFonts w:cs="Arial"/>
                                      <w:b/>
                                      <w:bCs/>
                                      <w:color w:val="000000"/>
                                      <w:sz w:val="16"/>
                                      <w:szCs w:val="16"/>
                                      <w:lang w:val="es-MX" w:eastAsia="es-MX"/>
                                    </w:rPr>
                                  </w:pPr>
                                  <w:r w:rsidRPr="00414FE7">
                                    <w:rPr>
                                      <w:rFonts w:cs="Arial"/>
                                      <w:b/>
                                      <w:bCs/>
                                      <w:color w:val="000000"/>
                                      <w:sz w:val="16"/>
                                      <w:szCs w:val="16"/>
                                      <w:lang w:val="es-MX" w:eastAsia="es-MX"/>
                                    </w:rPr>
                                    <w:t>Ciclo escolar 201</w:t>
                                  </w:r>
                                  <w:r w:rsidR="00840285" w:rsidRPr="00414FE7">
                                    <w:rPr>
                                      <w:rFonts w:cs="Arial"/>
                                      <w:b/>
                                      <w:bCs/>
                                      <w:color w:val="000000"/>
                                      <w:sz w:val="16"/>
                                      <w:szCs w:val="16"/>
                                      <w:lang w:val="es-MX" w:eastAsia="es-MX"/>
                                    </w:rPr>
                                    <w:t>7</w:t>
                                  </w:r>
                                  <w:r w:rsidR="00C74AEE" w:rsidRPr="00414FE7">
                                    <w:rPr>
                                      <w:rFonts w:cs="Arial"/>
                                      <w:b/>
                                      <w:bCs/>
                                      <w:color w:val="000000"/>
                                      <w:sz w:val="16"/>
                                      <w:szCs w:val="16"/>
                                      <w:lang w:val="es-MX" w:eastAsia="es-MX"/>
                                    </w:rPr>
                                    <w:t>-201</w:t>
                                  </w:r>
                                  <w:r w:rsidR="00840285" w:rsidRPr="00414FE7">
                                    <w:rPr>
                                      <w:rFonts w:cs="Arial"/>
                                      <w:b/>
                                      <w:bCs/>
                                      <w:color w:val="000000"/>
                                      <w:sz w:val="16"/>
                                      <w:szCs w:val="16"/>
                                      <w:lang w:val="es-MX" w:eastAsia="es-MX"/>
                                    </w:rPr>
                                    <w:t>8</w:t>
                                  </w:r>
                                </w:p>
                              </w:tc>
                            </w:tr>
                            <w:tr w:rsidR="00C74AEE" w:rsidRPr="00414FE7" w14:paraId="32EE0050" w14:textId="77777777" w:rsidTr="00C74AEE">
                              <w:trPr>
                                <w:trHeight w:val="450"/>
                              </w:trPr>
                              <w:tc>
                                <w:tcPr>
                                  <w:tcW w:w="1640" w:type="dxa"/>
                                  <w:tcBorders>
                                    <w:top w:val="nil"/>
                                    <w:left w:val="single" w:sz="4" w:space="0" w:color="auto"/>
                                    <w:bottom w:val="single" w:sz="4" w:space="0" w:color="auto"/>
                                    <w:right w:val="single" w:sz="4" w:space="0" w:color="auto"/>
                                  </w:tcBorders>
                                  <w:shd w:val="clear" w:color="auto" w:fill="auto"/>
                                  <w:vAlign w:val="center"/>
                                  <w:hideMark/>
                                </w:tcPr>
                                <w:p w14:paraId="0571239C" w14:textId="0465D17B" w:rsidR="00C74AEE" w:rsidRPr="00414FE7" w:rsidRDefault="00E32AAC" w:rsidP="0026703F">
                                  <w:pPr>
                                    <w:jc w:val="center"/>
                                    <w:rPr>
                                      <w:rFonts w:cs="Arial"/>
                                      <w:b/>
                                      <w:bCs/>
                                      <w:color w:val="000000"/>
                                      <w:sz w:val="16"/>
                                      <w:szCs w:val="16"/>
                                      <w:lang w:val="es-MX" w:eastAsia="es-MX"/>
                                    </w:rPr>
                                  </w:pPr>
                                  <w:r w:rsidRPr="00414FE7">
                                    <w:rPr>
                                      <w:rFonts w:cs="Arial"/>
                                      <w:b/>
                                      <w:bCs/>
                                      <w:color w:val="000000"/>
                                      <w:sz w:val="16"/>
                                      <w:szCs w:val="16"/>
                                      <w:lang w:val="es-MX" w:eastAsia="es-MX"/>
                                    </w:rPr>
                                    <w:t>Tipo de servicio</w:t>
                                  </w:r>
                                </w:p>
                              </w:tc>
                              <w:tc>
                                <w:tcPr>
                                  <w:tcW w:w="1200" w:type="dxa"/>
                                  <w:tcBorders>
                                    <w:top w:val="nil"/>
                                    <w:left w:val="nil"/>
                                    <w:bottom w:val="single" w:sz="4" w:space="0" w:color="auto"/>
                                    <w:right w:val="single" w:sz="4" w:space="0" w:color="auto"/>
                                  </w:tcBorders>
                                  <w:shd w:val="clear" w:color="auto" w:fill="auto"/>
                                  <w:vAlign w:val="center"/>
                                  <w:hideMark/>
                                </w:tcPr>
                                <w:p w14:paraId="606FBF15" w14:textId="7189E20F" w:rsidR="00C74AEE" w:rsidRPr="00414FE7" w:rsidRDefault="00C74AEE" w:rsidP="00C74AEE">
                                  <w:pPr>
                                    <w:jc w:val="center"/>
                                    <w:rPr>
                                      <w:rFonts w:cs="Arial"/>
                                      <w:bCs/>
                                      <w:color w:val="000000"/>
                                      <w:sz w:val="16"/>
                                      <w:szCs w:val="16"/>
                                      <w:lang w:val="es-MX" w:eastAsia="es-MX"/>
                                    </w:rPr>
                                  </w:pPr>
                                </w:p>
                              </w:tc>
                              <w:tc>
                                <w:tcPr>
                                  <w:tcW w:w="1200" w:type="dxa"/>
                                  <w:tcBorders>
                                    <w:top w:val="nil"/>
                                    <w:left w:val="nil"/>
                                    <w:bottom w:val="single" w:sz="4" w:space="0" w:color="auto"/>
                                    <w:right w:val="single" w:sz="4" w:space="0" w:color="auto"/>
                                  </w:tcBorders>
                                  <w:shd w:val="clear" w:color="auto" w:fill="auto"/>
                                  <w:vAlign w:val="center"/>
                                  <w:hideMark/>
                                </w:tcPr>
                                <w:p w14:paraId="3A02774C" w14:textId="77777777" w:rsidR="00C74AEE" w:rsidRPr="00414FE7" w:rsidRDefault="00C74AEE" w:rsidP="0026703F">
                                  <w:pPr>
                                    <w:jc w:val="center"/>
                                    <w:rPr>
                                      <w:rFonts w:cs="Arial"/>
                                      <w:b/>
                                      <w:bCs/>
                                      <w:color w:val="000000"/>
                                      <w:sz w:val="16"/>
                                      <w:szCs w:val="16"/>
                                      <w:lang w:val="es-MX" w:eastAsia="es-MX"/>
                                    </w:rPr>
                                  </w:pPr>
                                  <w:r w:rsidRPr="00414FE7">
                                    <w:rPr>
                                      <w:rFonts w:cs="Arial"/>
                                      <w:b/>
                                      <w:bCs/>
                                      <w:color w:val="000000"/>
                                      <w:sz w:val="16"/>
                                      <w:szCs w:val="16"/>
                                      <w:lang w:eastAsia="es-MX"/>
                                    </w:rPr>
                                    <w:t>Unitarias</w:t>
                                  </w:r>
                                </w:p>
                              </w:tc>
                              <w:tc>
                                <w:tcPr>
                                  <w:tcW w:w="1200" w:type="dxa"/>
                                  <w:tcBorders>
                                    <w:top w:val="nil"/>
                                    <w:left w:val="nil"/>
                                    <w:bottom w:val="single" w:sz="4" w:space="0" w:color="auto"/>
                                    <w:right w:val="single" w:sz="4" w:space="0" w:color="auto"/>
                                  </w:tcBorders>
                                  <w:shd w:val="clear" w:color="auto" w:fill="auto"/>
                                  <w:vAlign w:val="center"/>
                                  <w:hideMark/>
                                </w:tcPr>
                                <w:p w14:paraId="0BA78351" w14:textId="77777777" w:rsidR="00C74AEE" w:rsidRPr="00414FE7" w:rsidRDefault="00C74AEE" w:rsidP="0026703F">
                                  <w:pPr>
                                    <w:jc w:val="center"/>
                                    <w:rPr>
                                      <w:rFonts w:cs="Arial"/>
                                      <w:b/>
                                      <w:bCs/>
                                      <w:color w:val="000000"/>
                                      <w:sz w:val="16"/>
                                      <w:szCs w:val="16"/>
                                      <w:lang w:val="es-MX" w:eastAsia="es-MX"/>
                                    </w:rPr>
                                  </w:pPr>
                                  <w:r w:rsidRPr="00414FE7">
                                    <w:rPr>
                                      <w:rFonts w:cs="Arial"/>
                                      <w:b/>
                                      <w:bCs/>
                                      <w:color w:val="000000"/>
                                      <w:sz w:val="16"/>
                                      <w:szCs w:val="16"/>
                                      <w:lang w:eastAsia="es-MX"/>
                                    </w:rPr>
                                    <w:t>Bidocentes</w:t>
                                  </w:r>
                                </w:p>
                              </w:tc>
                              <w:tc>
                                <w:tcPr>
                                  <w:tcW w:w="1200" w:type="dxa"/>
                                  <w:tcBorders>
                                    <w:top w:val="nil"/>
                                    <w:left w:val="nil"/>
                                    <w:bottom w:val="single" w:sz="4" w:space="0" w:color="auto"/>
                                    <w:right w:val="single" w:sz="4" w:space="0" w:color="auto"/>
                                  </w:tcBorders>
                                  <w:shd w:val="clear" w:color="auto" w:fill="auto"/>
                                  <w:vAlign w:val="center"/>
                                  <w:hideMark/>
                                </w:tcPr>
                                <w:p w14:paraId="346572B3" w14:textId="1397A0F5" w:rsidR="00C74AEE" w:rsidRPr="00414FE7" w:rsidRDefault="00644CBC" w:rsidP="00203739">
                                  <w:pPr>
                                    <w:jc w:val="center"/>
                                    <w:rPr>
                                      <w:rFonts w:cs="Arial"/>
                                      <w:b/>
                                      <w:bCs/>
                                      <w:color w:val="000000"/>
                                      <w:sz w:val="16"/>
                                      <w:szCs w:val="16"/>
                                      <w:lang w:val="es-MX" w:eastAsia="es-MX"/>
                                    </w:rPr>
                                  </w:pPr>
                                  <w:r w:rsidRPr="00414FE7">
                                    <w:rPr>
                                      <w:rFonts w:cs="Arial"/>
                                      <w:b/>
                                      <w:bCs/>
                                      <w:color w:val="000000"/>
                                      <w:sz w:val="16"/>
                                      <w:szCs w:val="16"/>
                                      <w:lang w:eastAsia="es-MX"/>
                                    </w:rPr>
                                    <w:t>Total unitarias y bidocentes</w:t>
                                  </w:r>
                                </w:p>
                              </w:tc>
                            </w:tr>
                            <w:tr w:rsidR="00EF21A2" w:rsidRPr="00414FE7" w14:paraId="2997B56F" w14:textId="77777777" w:rsidTr="00D77ACB">
                              <w:trPr>
                                <w:trHeight w:val="300"/>
                              </w:trPr>
                              <w:tc>
                                <w:tcPr>
                                  <w:tcW w:w="1640" w:type="dxa"/>
                                  <w:vMerge w:val="restart"/>
                                  <w:tcBorders>
                                    <w:top w:val="nil"/>
                                    <w:left w:val="single" w:sz="4" w:space="0" w:color="auto"/>
                                    <w:bottom w:val="single" w:sz="4" w:space="0" w:color="auto"/>
                                    <w:right w:val="single" w:sz="4" w:space="0" w:color="auto"/>
                                  </w:tcBorders>
                                  <w:shd w:val="clear" w:color="auto" w:fill="auto"/>
                                  <w:vAlign w:val="center"/>
                                  <w:hideMark/>
                                </w:tcPr>
                                <w:p w14:paraId="6F8EDB3F"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Telesecundaria</w:t>
                                  </w:r>
                                </w:p>
                              </w:tc>
                              <w:tc>
                                <w:tcPr>
                                  <w:tcW w:w="1200" w:type="dxa"/>
                                  <w:tcBorders>
                                    <w:top w:val="nil"/>
                                    <w:left w:val="nil"/>
                                    <w:bottom w:val="single" w:sz="4" w:space="0" w:color="auto"/>
                                    <w:right w:val="single" w:sz="4" w:space="0" w:color="auto"/>
                                  </w:tcBorders>
                                  <w:shd w:val="clear" w:color="auto" w:fill="auto"/>
                                  <w:vAlign w:val="center"/>
                                  <w:hideMark/>
                                </w:tcPr>
                                <w:p w14:paraId="567DE616"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w:t>
                                  </w:r>
                                </w:p>
                              </w:tc>
                              <w:tc>
                                <w:tcPr>
                                  <w:tcW w:w="1200" w:type="dxa"/>
                                  <w:tcBorders>
                                    <w:top w:val="nil"/>
                                    <w:left w:val="nil"/>
                                    <w:bottom w:val="single" w:sz="4" w:space="0" w:color="auto"/>
                                    <w:right w:val="single" w:sz="4" w:space="0" w:color="auto"/>
                                  </w:tcBorders>
                                  <w:shd w:val="clear" w:color="auto" w:fill="auto"/>
                                  <w:vAlign w:val="bottom"/>
                                </w:tcPr>
                                <w:p w14:paraId="36F0D0E7" w14:textId="62A917B8"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9.3</w:t>
                                  </w:r>
                                </w:p>
                              </w:tc>
                              <w:tc>
                                <w:tcPr>
                                  <w:tcW w:w="1200" w:type="dxa"/>
                                  <w:tcBorders>
                                    <w:top w:val="nil"/>
                                    <w:left w:val="nil"/>
                                    <w:bottom w:val="single" w:sz="4" w:space="0" w:color="auto"/>
                                    <w:right w:val="single" w:sz="4" w:space="0" w:color="auto"/>
                                  </w:tcBorders>
                                  <w:shd w:val="clear" w:color="auto" w:fill="auto"/>
                                  <w:vAlign w:val="bottom"/>
                                </w:tcPr>
                                <w:p w14:paraId="4F8B11DF" w14:textId="2D6425EE"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13.0</w:t>
                                  </w:r>
                                </w:p>
                              </w:tc>
                              <w:tc>
                                <w:tcPr>
                                  <w:tcW w:w="1200" w:type="dxa"/>
                                  <w:tcBorders>
                                    <w:top w:val="nil"/>
                                    <w:left w:val="nil"/>
                                    <w:bottom w:val="single" w:sz="4" w:space="0" w:color="auto"/>
                                    <w:right w:val="single" w:sz="4" w:space="0" w:color="auto"/>
                                  </w:tcBorders>
                                  <w:shd w:val="clear" w:color="auto" w:fill="auto"/>
                                  <w:vAlign w:val="bottom"/>
                                </w:tcPr>
                                <w:p w14:paraId="25397DB1" w14:textId="5385A016"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22.3</w:t>
                                  </w:r>
                                </w:p>
                              </w:tc>
                            </w:tr>
                            <w:tr w:rsidR="00EF21A2" w:rsidRPr="00414FE7" w14:paraId="4C758437" w14:textId="77777777" w:rsidTr="00610893">
                              <w:trPr>
                                <w:trHeight w:val="300"/>
                              </w:trPr>
                              <w:tc>
                                <w:tcPr>
                                  <w:tcW w:w="1640" w:type="dxa"/>
                                  <w:vMerge/>
                                  <w:tcBorders>
                                    <w:top w:val="nil"/>
                                    <w:left w:val="single" w:sz="4" w:space="0" w:color="auto"/>
                                    <w:bottom w:val="single" w:sz="4" w:space="0" w:color="auto"/>
                                    <w:right w:val="single" w:sz="4" w:space="0" w:color="auto"/>
                                  </w:tcBorders>
                                  <w:vAlign w:val="center"/>
                                  <w:hideMark/>
                                </w:tcPr>
                                <w:p w14:paraId="3C183DC3" w14:textId="77777777" w:rsidR="00EF21A2" w:rsidRPr="00414FE7" w:rsidRDefault="00EF21A2" w:rsidP="00EF21A2">
                                  <w:pPr>
                                    <w:rPr>
                                      <w:rFonts w:cs="Arial"/>
                                      <w:bCs/>
                                      <w:color w:val="000000"/>
                                      <w:sz w:val="16"/>
                                      <w:szCs w:val="16"/>
                                      <w:lang w:val="es-MX" w:eastAsia="es-MX"/>
                                    </w:rPr>
                                  </w:pPr>
                                </w:p>
                              </w:tc>
                              <w:tc>
                                <w:tcPr>
                                  <w:tcW w:w="1200" w:type="dxa"/>
                                  <w:tcBorders>
                                    <w:top w:val="nil"/>
                                    <w:left w:val="nil"/>
                                    <w:bottom w:val="single" w:sz="4" w:space="0" w:color="auto"/>
                                    <w:right w:val="single" w:sz="4" w:space="0" w:color="auto"/>
                                  </w:tcBorders>
                                  <w:shd w:val="clear" w:color="auto" w:fill="auto"/>
                                  <w:vAlign w:val="center"/>
                                  <w:hideMark/>
                                </w:tcPr>
                                <w:p w14:paraId="090644E6"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Absolutos </w:t>
                                  </w:r>
                                </w:p>
                              </w:tc>
                              <w:tc>
                                <w:tcPr>
                                  <w:tcW w:w="1200" w:type="dxa"/>
                                  <w:tcBorders>
                                    <w:top w:val="nil"/>
                                    <w:left w:val="nil"/>
                                    <w:bottom w:val="single" w:sz="4" w:space="0" w:color="auto"/>
                                    <w:right w:val="single" w:sz="4" w:space="0" w:color="auto"/>
                                  </w:tcBorders>
                                  <w:shd w:val="clear" w:color="auto" w:fill="auto"/>
                                  <w:vAlign w:val="center"/>
                                </w:tcPr>
                                <w:p w14:paraId="508DE3FA" w14:textId="7EE4AC86"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1 752</w:t>
                                  </w:r>
                                </w:p>
                              </w:tc>
                              <w:tc>
                                <w:tcPr>
                                  <w:tcW w:w="1200" w:type="dxa"/>
                                  <w:tcBorders>
                                    <w:top w:val="nil"/>
                                    <w:left w:val="nil"/>
                                    <w:bottom w:val="single" w:sz="4" w:space="0" w:color="auto"/>
                                    <w:right w:val="single" w:sz="4" w:space="0" w:color="auto"/>
                                  </w:tcBorders>
                                  <w:shd w:val="clear" w:color="auto" w:fill="auto"/>
                                  <w:vAlign w:val="center"/>
                                </w:tcPr>
                                <w:p w14:paraId="6E6FBF0A" w14:textId="5C61D6A6"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2 430</w:t>
                                  </w:r>
                                </w:p>
                              </w:tc>
                              <w:tc>
                                <w:tcPr>
                                  <w:tcW w:w="1200" w:type="dxa"/>
                                  <w:tcBorders>
                                    <w:top w:val="nil"/>
                                    <w:left w:val="nil"/>
                                    <w:bottom w:val="single" w:sz="4" w:space="0" w:color="auto"/>
                                    <w:right w:val="single" w:sz="4" w:space="0" w:color="auto"/>
                                  </w:tcBorders>
                                  <w:shd w:val="clear" w:color="auto" w:fill="auto"/>
                                  <w:vAlign w:val="center"/>
                                </w:tcPr>
                                <w:p w14:paraId="5000DEF0" w14:textId="491904EA"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4 182</w:t>
                                  </w:r>
                                </w:p>
                              </w:tc>
                            </w:tr>
                            <w:tr w:rsidR="00EF21A2" w:rsidRPr="00414FE7" w14:paraId="1CE8731E" w14:textId="77777777" w:rsidTr="00EC2AC3">
                              <w:trPr>
                                <w:trHeight w:val="300"/>
                              </w:trPr>
                              <w:tc>
                                <w:tcPr>
                                  <w:tcW w:w="16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35E0274"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Comunitaria </w:t>
                                  </w:r>
                                </w:p>
                              </w:tc>
                              <w:tc>
                                <w:tcPr>
                                  <w:tcW w:w="1200" w:type="dxa"/>
                                  <w:tcBorders>
                                    <w:top w:val="nil"/>
                                    <w:left w:val="nil"/>
                                    <w:bottom w:val="single" w:sz="4" w:space="0" w:color="auto"/>
                                    <w:right w:val="single" w:sz="4" w:space="0" w:color="auto"/>
                                  </w:tcBorders>
                                  <w:shd w:val="clear" w:color="auto" w:fill="auto"/>
                                  <w:vAlign w:val="center"/>
                                  <w:hideMark/>
                                </w:tcPr>
                                <w:p w14:paraId="5890F920"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w:t>
                                  </w:r>
                                </w:p>
                              </w:tc>
                              <w:tc>
                                <w:tcPr>
                                  <w:tcW w:w="1200" w:type="dxa"/>
                                  <w:tcBorders>
                                    <w:top w:val="nil"/>
                                    <w:left w:val="nil"/>
                                    <w:bottom w:val="single" w:sz="4" w:space="0" w:color="auto"/>
                                    <w:right w:val="single" w:sz="4" w:space="0" w:color="auto"/>
                                  </w:tcBorders>
                                  <w:shd w:val="clear" w:color="auto" w:fill="auto"/>
                                  <w:noWrap/>
                                  <w:vAlign w:val="center"/>
                                </w:tcPr>
                                <w:p w14:paraId="4CB22A6C" w14:textId="784C3C18" w:rsidR="00EF21A2" w:rsidRPr="00414FE7" w:rsidRDefault="00167CC4" w:rsidP="00167CC4">
                                  <w:pPr>
                                    <w:jc w:val="right"/>
                                    <w:rPr>
                                      <w:rFonts w:cs="Arial"/>
                                      <w:bCs/>
                                      <w:color w:val="000000"/>
                                      <w:sz w:val="16"/>
                                      <w:szCs w:val="16"/>
                                      <w:lang w:val="es-MX" w:eastAsia="es-MX"/>
                                    </w:rPr>
                                  </w:pPr>
                                  <w:r w:rsidRPr="00414FE7">
                                    <w:rPr>
                                      <w:rFonts w:cs="Arial"/>
                                      <w:sz w:val="16"/>
                                      <w:szCs w:val="16"/>
                                    </w:rPr>
                                    <w:t>34.1</w:t>
                                  </w:r>
                                </w:p>
                              </w:tc>
                              <w:tc>
                                <w:tcPr>
                                  <w:tcW w:w="1200" w:type="dxa"/>
                                  <w:tcBorders>
                                    <w:top w:val="nil"/>
                                    <w:left w:val="nil"/>
                                    <w:bottom w:val="single" w:sz="4" w:space="0" w:color="auto"/>
                                    <w:right w:val="single" w:sz="4" w:space="0" w:color="auto"/>
                                  </w:tcBorders>
                                  <w:shd w:val="clear" w:color="auto" w:fill="auto"/>
                                  <w:noWrap/>
                                  <w:vAlign w:val="center"/>
                                </w:tcPr>
                                <w:p w14:paraId="6A125D5B" w14:textId="0FA0A7BA" w:rsidR="00EF21A2" w:rsidRPr="00414FE7" w:rsidRDefault="00167CC4" w:rsidP="00167CC4">
                                  <w:pPr>
                                    <w:jc w:val="right"/>
                                    <w:rPr>
                                      <w:rFonts w:cs="Arial"/>
                                      <w:bCs/>
                                      <w:color w:val="000000"/>
                                      <w:sz w:val="16"/>
                                      <w:szCs w:val="16"/>
                                      <w:lang w:val="es-MX" w:eastAsia="es-MX"/>
                                    </w:rPr>
                                  </w:pPr>
                                  <w:r w:rsidRPr="00414FE7">
                                    <w:rPr>
                                      <w:rFonts w:cs="Arial"/>
                                      <w:sz w:val="16"/>
                                      <w:szCs w:val="16"/>
                                    </w:rPr>
                                    <w:t>36.6</w:t>
                                  </w:r>
                                </w:p>
                              </w:tc>
                              <w:tc>
                                <w:tcPr>
                                  <w:tcW w:w="1200" w:type="dxa"/>
                                  <w:tcBorders>
                                    <w:top w:val="nil"/>
                                    <w:left w:val="nil"/>
                                    <w:bottom w:val="single" w:sz="4" w:space="0" w:color="auto"/>
                                    <w:right w:val="single" w:sz="4" w:space="0" w:color="auto"/>
                                  </w:tcBorders>
                                  <w:shd w:val="clear" w:color="auto" w:fill="auto"/>
                                  <w:noWrap/>
                                  <w:vAlign w:val="center"/>
                                </w:tcPr>
                                <w:p w14:paraId="5D944A04" w14:textId="5A76F806" w:rsidR="00EF21A2" w:rsidRPr="00414FE7" w:rsidRDefault="00167CC4" w:rsidP="00167CC4">
                                  <w:pPr>
                                    <w:jc w:val="right"/>
                                    <w:rPr>
                                      <w:rFonts w:cs="Arial"/>
                                      <w:bCs/>
                                      <w:color w:val="000000"/>
                                      <w:sz w:val="16"/>
                                      <w:szCs w:val="16"/>
                                      <w:lang w:val="es-MX" w:eastAsia="es-MX"/>
                                    </w:rPr>
                                  </w:pPr>
                                  <w:r w:rsidRPr="00414FE7">
                                    <w:rPr>
                                      <w:rFonts w:cs="Arial"/>
                                      <w:sz w:val="16"/>
                                      <w:szCs w:val="16"/>
                                    </w:rPr>
                                    <w:t>70.7</w:t>
                                  </w:r>
                                </w:p>
                              </w:tc>
                            </w:tr>
                            <w:tr w:rsidR="00EF21A2" w:rsidRPr="00414FE7" w14:paraId="320A0A0B" w14:textId="77777777" w:rsidTr="00C74AEE">
                              <w:trPr>
                                <w:trHeight w:val="300"/>
                              </w:trPr>
                              <w:tc>
                                <w:tcPr>
                                  <w:tcW w:w="1640" w:type="dxa"/>
                                  <w:vMerge/>
                                  <w:tcBorders>
                                    <w:top w:val="nil"/>
                                    <w:left w:val="single" w:sz="4" w:space="0" w:color="auto"/>
                                    <w:bottom w:val="single" w:sz="4" w:space="0" w:color="auto"/>
                                    <w:right w:val="single" w:sz="4" w:space="0" w:color="auto"/>
                                  </w:tcBorders>
                                  <w:vAlign w:val="center"/>
                                  <w:hideMark/>
                                </w:tcPr>
                                <w:p w14:paraId="1C94FC73" w14:textId="77777777" w:rsidR="00EF21A2" w:rsidRPr="00414FE7" w:rsidRDefault="00EF21A2" w:rsidP="00EF21A2">
                                  <w:pPr>
                                    <w:rPr>
                                      <w:rFonts w:cs="Arial"/>
                                      <w:bCs/>
                                      <w:color w:val="000000"/>
                                      <w:sz w:val="16"/>
                                      <w:szCs w:val="16"/>
                                      <w:lang w:val="es-MX" w:eastAsia="es-MX"/>
                                    </w:rPr>
                                  </w:pPr>
                                </w:p>
                              </w:tc>
                              <w:tc>
                                <w:tcPr>
                                  <w:tcW w:w="1200" w:type="dxa"/>
                                  <w:tcBorders>
                                    <w:top w:val="nil"/>
                                    <w:left w:val="nil"/>
                                    <w:bottom w:val="single" w:sz="4" w:space="0" w:color="auto"/>
                                    <w:right w:val="single" w:sz="4" w:space="0" w:color="auto"/>
                                  </w:tcBorders>
                                  <w:shd w:val="clear" w:color="auto" w:fill="auto"/>
                                  <w:vAlign w:val="center"/>
                                  <w:hideMark/>
                                </w:tcPr>
                                <w:p w14:paraId="1AA5843F"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Absolutos </w:t>
                                  </w:r>
                                </w:p>
                              </w:tc>
                              <w:tc>
                                <w:tcPr>
                                  <w:tcW w:w="1200" w:type="dxa"/>
                                  <w:tcBorders>
                                    <w:top w:val="nil"/>
                                    <w:left w:val="nil"/>
                                    <w:bottom w:val="single" w:sz="4" w:space="0" w:color="auto"/>
                                    <w:right w:val="single" w:sz="4" w:space="0" w:color="auto"/>
                                  </w:tcBorders>
                                  <w:shd w:val="clear" w:color="auto" w:fill="auto"/>
                                  <w:noWrap/>
                                  <w:vAlign w:val="bottom"/>
                                  <w:hideMark/>
                                </w:tcPr>
                                <w:p w14:paraId="5ACF2EC4" w14:textId="422CF92F" w:rsidR="00EF21A2" w:rsidRPr="00414FE7" w:rsidRDefault="00167CC4" w:rsidP="00167CC4">
                                  <w:pPr>
                                    <w:jc w:val="right"/>
                                    <w:rPr>
                                      <w:rFonts w:cs="Arial"/>
                                      <w:bCs/>
                                      <w:color w:val="000000"/>
                                      <w:sz w:val="16"/>
                                      <w:szCs w:val="16"/>
                                      <w:lang w:val="es-MX" w:eastAsia="es-MX"/>
                                    </w:rPr>
                                  </w:pPr>
                                  <w:r w:rsidRPr="00414FE7">
                                    <w:rPr>
                                      <w:rFonts w:cs="Arial"/>
                                      <w:sz w:val="16"/>
                                      <w:szCs w:val="16"/>
                                    </w:rPr>
                                    <w:t>1 209</w:t>
                                  </w:r>
                                  <w:r w:rsidR="00EF21A2" w:rsidRPr="00414FE7">
                                    <w:rPr>
                                      <w:rFonts w:cs="Arial"/>
                                      <w:sz w:val="16"/>
                                      <w:szCs w:val="16"/>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5941F2CA" w14:textId="0CCD52D7" w:rsidR="00EF21A2" w:rsidRPr="00414FE7" w:rsidRDefault="00167CC4" w:rsidP="00167CC4">
                                  <w:pPr>
                                    <w:jc w:val="right"/>
                                    <w:rPr>
                                      <w:rFonts w:cs="Arial"/>
                                      <w:bCs/>
                                      <w:color w:val="000000"/>
                                      <w:sz w:val="16"/>
                                      <w:szCs w:val="16"/>
                                      <w:lang w:val="es-MX" w:eastAsia="es-MX"/>
                                    </w:rPr>
                                  </w:pPr>
                                  <w:r w:rsidRPr="00414FE7">
                                    <w:rPr>
                                      <w:rFonts w:cs="Arial"/>
                                      <w:sz w:val="16"/>
                                      <w:szCs w:val="16"/>
                                    </w:rPr>
                                    <w:t>1 300</w:t>
                                  </w:r>
                                </w:p>
                              </w:tc>
                              <w:tc>
                                <w:tcPr>
                                  <w:tcW w:w="1200" w:type="dxa"/>
                                  <w:tcBorders>
                                    <w:top w:val="nil"/>
                                    <w:left w:val="nil"/>
                                    <w:bottom w:val="single" w:sz="4" w:space="0" w:color="auto"/>
                                    <w:right w:val="single" w:sz="4" w:space="0" w:color="auto"/>
                                  </w:tcBorders>
                                  <w:shd w:val="clear" w:color="auto" w:fill="auto"/>
                                  <w:noWrap/>
                                  <w:vAlign w:val="bottom"/>
                                  <w:hideMark/>
                                </w:tcPr>
                                <w:p w14:paraId="520C0433" w14:textId="52604EE6" w:rsidR="00EF21A2" w:rsidRPr="00414FE7" w:rsidRDefault="00167CC4" w:rsidP="00167CC4">
                                  <w:pPr>
                                    <w:jc w:val="right"/>
                                    <w:rPr>
                                      <w:rFonts w:cs="Arial"/>
                                      <w:bCs/>
                                      <w:color w:val="000000"/>
                                      <w:sz w:val="16"/>
                                      <w:szCs w:val="16"/>
                                      <w:lang w:val="es-MX" w:eastAsia="es-MX"/>
                                    </w:rPr>
                                  </w:pPr>
                                  <w:r w:rsidRPr="00414FE7">
                                    <w:rPr>
                                      <w:rFonts w:cs="Arial"/>
                                      <w:sz w:val="16"/>
                                      <w:szCs w:val="16"/>
                                    </w:rPr>
                                    <w:t>2 509</w:t>
                                  </w:r>
                                  <w:r w:rsidR="00EF21A2" w:rsidRPr="00414FE7">
                                    <w:rPr>
                                      <w:rFonts w:cs="Arial"/>
                                      <w:sz w:val="16"/>
                                      <w:szCs w:val="16"/>
                                    </w:rPr>
                                    <w:t xml:space="preserve"> </w:t>
                                  </w:r>
                                </w:p>
                              </w:tc>
                            </w:tr>
                            <w:tr w:rsidR="00EF21A2" w:rsidRPr="00414FE7" w14:paraId="642B4462" w14:textId="77777777" w:rsidTr="0082033E">
                              <w:trPr>
                                <w:trHeight w:val="300"/>
                              </w:trPr>
                              <w:tc>
                                <w:tcPr>
                                  <w:tcW w:w="16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63028F4"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Para migrantes </w:t>
                                  </w:r>
                                </w:p>
                              </w:tc>
                              <w:tc>
                                <w:tcPr>
                                  <w:tcW w:w="1200" w:type="dxa"/>
                                  <w:tcBorders>
                                    <w:top w:val="nil"/>
                                    <w:left w:val="nil"/>
                                    <w:bottom w:val="single" w:sz="4" w:space="0" w:color="auto"/>
                                    <w:right w:val="single" w:sz="4" w:space="0" w:color="auto"/>
                                  </w:tcBorders>
                                  <w:shd w:val="clear" w:color="auto" w:fill="auto"/>
                                  <w:vAlign w:val="center"/>
                                  <w:hideMark/>
                                </w:tcPr>
                                <w:p w14:paraId="409FF421"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w:t>
                                  </w:r>
                                </w:p>
                              </w:tc>
                              <w:tc>
                                <w:tcPr>
                                  <w:tcW w:w="1200" w:type="dxa"/>
                                  <w:tcBorders>
                                    <w:top w:val="nil"/>
                                    <w:left w:val="nil"/>
                                    <w:bottom w:val="single" w:sz="4" w:space="0" w:color="auto"/>
                                    <w:right w:val="single" w:sz="4" w:space="0" w:color="auto"/>
                                  </w:tcBorders>
                                  <w:shd w:val="clear" w:color="auto" w:fill="auto"/>
                                  <w:noWrap/>
                                  <w:vAlign w:val="bottom"/>
                                </w:tcPr>
                                <w:p w14:paraId="53656782" w14:textId="3E4BB266"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52.7</w:t>
                                  </w:r>
                                </w:p>
                              </w:tc>
                              <w:tc>
                                <w:tcPr>
                                  <w:tcW w:w="1200" w:type="dxa"/>
                                  <w:tcBorders>
                                    <w:top w:val="nil"/>
                                    <w:left w:val="nil"/>
                                    <w:bottom w:val="single" w:sz="4" w:space="0" w:color="auto"/>
                                    <w:right w:val="single" w:sz="4" w:space="0" w:color="auto"/>
                                  </w:tcBorders>
                                  <w:shd w:val="clear" w:color="auto" w:fill="auto"/>
                                  <w:noWrap/>
                                  <w:vAlign w:val="bottom"/>
                                </w:tcPr>
                                <w:p w14:paraId="7440D80A" w14:textId="05BB4264"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14.5</w:t>
                                  </w:r>
                                </w:p>
                              </w:tc>
                              <w:tc>
                                <w:tcPr>
                                  <w:tcW w:w="1200" w:type="dxa"/>
                                  <w:tcBorders>
                                    <w:top w:val="nil"/>
                                    <w:left w:val="nil"/>
                                    <w:bottom w:val="single" w:sz="4" w:space="0" w:color="auto"/>
                                    <w:right w:val="single" w:sz="4" w:space="0" w:color="auto"/>
                                  </w:tcBorders>
                                  <w:shd w:val="clear" w:color="auto" w:fill="auto"/>
                                  <w:noWrap/>
                                  <w:vAlign w:val="bottom"/>
                                </w:tcPr>
                                <w:p w14:paraId="76ACF476" w14:textId="2401B405"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67.3</w:t>
                                  </w:r>
                                </w:p>
                              </w:tc>
                            </w:tr>
                            <w:tr w:rsidR="00EF21A2" w:rsidRPr="00414FE7" w14:paraId="3B028A0B" w14:textId="77777777" w:rsidTr="00C74AEE">
                              <w:trPr>
                                <w:trHeight w:val="300"/>
                              </w:trPr>
                              <w:tc>
                                <w:tcPr>
                                  <w:tcW w:w="1640" w:type="dxa"/>
                                  <w:vMerge/>
                                  <w:tcBorders>
                                    <w:top w:val="nil"/>
                                    <w:left w:val="single" w:sz="4" w:space="0" w:color="auto"/>
                                    <w:bottom w:val="single" w:sz="4" w:space="0" w:color="auto"/>
                                    <w:right w:val="single" w:sz="4" w:space="0" w:color="auto"/>
                                  </w:tcBorders>
                                  <w:vAlign w:val="center"/>
                                  <w:hideMark/>
                                </w:tcPr>
                                <w:p w14:paraId="6AEB44A2" w14:textId="77777777" w:rsidR="00EF21A2" w:rsidRPr="00414FE7" w:rsidRDefault="00EF21A2" w:rsidP="00EF21A2">
                                  <w:pPr>
                                    <w:rPr>
                                      <w:rFonts w:cs="Arial"/>
                                      <w:bCs/>
                                      <w:color w:val="000000"/>
                                      <w:sz w:val="16"/>
                                      <w:szCs w:val="16"/>
                                      <w:lang w:val="es-MX" w:eastAsia="es-MX"/>
                                    </w:rPr>
                                  </w:pPr>
                                </w:p>
                              </w:tc>
                              <w:tc>
                                <w:tcPr>
                                  <w:tcW w:w="1200" w:type="dxa"/>
                                  <w:tcBorders>
                                    <w:top w:val="nil"/>
                                    <w:left w:val="nil"/>
                                    <w:bottom w:val="single" w:sz="4" w:space="0" w:color="auto"/>
                                    <w:right w:val="single" w:sz="4" w:space="0" w:color="auto"/>
                                  </w:tcBorders>
                                  <w:shd w:val="clear" w:color="auto" w:fill="auto"/>
                                  <w:vAlign w:val="center"/>
                                  <w:hideMark/>
                                </w:tcPr>
                                <w:p w14:paraId="5EB4DD4E"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Absolutos </w:t>
                                  </w:r>
                                </w:p>
                              </w:tc>
                              <w:tc>
                                <w:tcPr>
                                  <w:tcW w:w="1200" w:type="dxa"/>
                                  <w:tcBorders>
                                    <w:top w:val="nil"/>
                                    <w:left w:val="nil"/>
                                    <w:bottom w:val="single" w:sz="4" w:space="0" w:color="auto"/>
                                    <w:right w:val="single" w:sz="4" w:space="0" w:color="auto"/>
                                  </w:tcBorders>
                                  <w:shd w:val="clear" w:color="auto" w:fill="auto"/>
                                  <w:noWrap/>
                                  <w:vAlign w:val="bottom"/>
                                  <w:hideMark/>
                                </w:tcPr>
                                <w:p w14:paraId="5B9AED40" w14:textId="32AE03D0"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29</w:t>
                                  </w:r>
                                </w:p>
                              </w:tc>
                              <w:tc>
                                <w:tcPr>
                                  <w:tcW w:w="1200" w:type="dxa"/>
                                  <w:tcBorders>
                                    <w:top w:val="nil"/>
                                    <w:left w:val="nil"/>
                                    <w:bottom w:val="single" w:sz="4" w:space="0" w:color="auto"/>
                                    <w:right w:val="single" w:sz="4" w:space="0" w:color="auto"/>
                                  </w:tcBorders>
                                  <w:shd w:val="clear" w:color="auto" w:fill="auto"/>
                                  <w:noWrap/>
                                  <w:vAlign w:val="bottom"/>
                                  <w:hideMark/>
                                </w:tcPr>
                                <w:p w14:paraId="618C8A03" w14:textId="6819B7EF" w:rsidR="00EF21A2" w:rsidRPr="00414FE7" w:rsidRDefault="00167CC4" w:rsidP="00EF21A2">
                                  <w:pPr>
                                    <w:jc w:val="right"/>
                                    <w:rPr>
                                      <w:rFonts w:cs="Arial"/>
                                      <w:bCs/>
                                      <w:color w:val="000000"/>
                                      <w:sz w:val="16"/>
                                      <w:szCs w:val="16"/>
                                      <w:lang w:val="es-MX" w:eastAsia="es-MX"/>
                                    </w:rPr>
                                  </w:pPr>
                                  <w:r w:rsidRPr="00414FE7">
                                    <w:rPr>
                                      <w:rFonts w:cs="Arial"/>
                                      <w:color w:val="000000"/>
                                      <w:sz w:val="16"/>
                                      <w:szCs w:val="16"/>
                                    </w:rPr>
                                    <w:t>8</w:t>
                                  </w:r>
                                </w:p>
                              </w:tc>
                              <w:tc>
                                <w:tcPr>
                                  <w:tcW w:w="1200" w:type="dxa"/>
                                  <w:tcBorders>
                                    <w:top w:val="nil"/>
                                    <w:left w:val="nil"/>
                                    <w:bottom w:val="single" w:sz="4" w:space="0" w:color="auto"/>
                                    <w:right w:val="single" w:sz="4" w:space="0" w:color="auto"/>
                                  </w:tcBorders>
                                  <w:shd w:val="clear" w:color="auto" w:fill="auto"/>
                                  <w:noWrap/>
                                  <w:vAlign w:val="bottom"/>
                                  <w:hideMark/>
                                </w:tcPr>
                                <w:p w14:paraId="67978628" w14:textId="4BBEE2F8"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37</w:t>
                                  </w:r>
                                </w:p>
                              </w:tc>
                            </w:tr>
                          </w:tbl>
                          <w:p w14:paraId="6B7695D8" w14:textId="77777777" w:rsidR="00567EFC" w:rsidRPr="00414FE7" w:rsidRDefault="00C74AEE" w:rsidP="00566B81">
                            <w:pPr>
                              <w:ind w:right="108"/>
                              <w:jc w:val="center"/>
                              <w:rPr>
                                <w:rFonts w:cs="Arial"/>
                                <w:sz w:val="16"/>
                                <w:szCs w:val="16"/>
                                <w:lang w:val="es-MX"/>
                              </w:rPr>
                            </w:pPr>
                            <w:r w:rsidRPr="00414FE7">
                              <w:rPr>
                                <w:rFonts w:cs="Arial"/>
                                <w:sz w:val="16"/>
                                <w:szCs w:val="16"/>
                                <w:lang w:val="es-MX"/>
                              </w:rPr>
                              <w:fldChar w:fldCharType="end"/>
                            </w:r>
                          </w:p>
                          <w:p w14:paraId="3F5F751B" w14:textId="77777777" w:rsidR="00566B81" w:rsidRPr="00414FE7" w:rsidRDefault="00566B81" w:rsidP="00566B81">
                            <w:pPr>
                              <w:ind w:right="-70"/>
                              <w:jc w:val="both"/>
                              <w:rPr>
                                <w:rFonts w:cs="Arial"/>
                                <w:b/>
                                <w:sz w:val="18"/>
                                <w:szCs w:val="18"/>
                              </w:rPr>
                            </w:pPr>
                          </w:p>
                          <w:p w14:paraId="4C1C6D8A" w14:textId="5745BF93" w:rsidR="00566B81" w:rsidRDefault="00566B81" w:rsidP="00566B81">
                            <w:pPr>
                              <w:ind w:right="-70"/>
                              <w:jc w:val="both"/>
                              <w:rPr>
                                <w:rFonts w:cs="Arial"/>
                                <w:sz w:val="12"/>
                                <w:szCs w:val="12"/>
                              </w:rPr>
                            </w:pPr>
                            <w:r w:rsidRPr="00414FE7">
                              <w:rPr>
                                <w:rFonts w:cs="Arial"/>
                                <w:sz w:val="12"/>
                                <w:szCs w:val="12"/>
                              </w:rPr>
                              <w:t xml:space="preserve">Fuente: INEE, cálculos con base en las Estadísticas </w:t>
                            </w:r>
                            <w:r w:rsidR="00FF6AF9" w:rsidRPr="00414FE7">
                              <w:rPr>
                                <w:rFonts w:cs="Arial"/>
                                <w:sz w:val="12"/>
                                <w:szCs w:val="12"/>
                              </w:rPr>
                              <w:t>C</w:t>
                            </w:r>
                            <w:r w:rsidRPr="00414FE7">
                              <w:rPr>
                                <w:rFonts w:cs="Arial"/>
                                <w:sz w:val="12"/>
                                <w:szCs w:val="12"/>
                              </w:rPr>
                              <w:t xml:space="preserve">ontinuas del </w:t>
                            </w:r>
                            <w:r w:rsidR="00FF6AF9" w:rsidRPr="00414FE7">
                              <w:rPr>
                                <w:rFonts w:cs="Arial"/>
                                <w:sz w:val="12"/>
                                <w:szCs w:val="12"/>
                              </w:rPr>
                              <w:t>F</w:t>
                            </w:r>
                            <w:r w:rsidRPr="00414FE7">
                              <w:rPr>
                                <w:rFonts w:cs="Arial"/>
                                <w:sz w:val="12"/>
                                <w:szCs w:val="12"/>
                              </w:rPr>
                              <w:t>ormato 911 (ciclo escolar 201</w:t>
                            </w:r>
                            <w:r w:rsidR="00840285" w:rsidRPr="00414FE7">
                              <w:rPr>
                                <w:rFonts w:cs="Arial"/>
                                <w:sz w:val="12"/>
                                <w:szCs w:val="12"/>
                              </w:rPr>
                              <w:t>7</w:t>
                            </w:r>
                            <w:r w:rsidR="002E5A4F" w:rsidRPr="00414FE7">
                              <w:rPr>
                                <w:rFonts w:cs="Arial"/>
                                <w:sz w:val="12"/>
                                <w:szCs w:val="12"/>
                              </w:rPr>
                              <w:t>-</w:t>
                            </w:r>
                            <w:r w:rsidRPr="00414FE7">
                              <w:rPr>
                                <w:rFonts w:cs="Arial"/>
                                <w:sz w:val="12"/>
                                <w:szCs w:val="12"/>
                              </w:rPr>
                              <w:t>201</w:t>
                            </w:r>
                            <w:r w:rsidR="00840285" w:rsidRPr="00414FE7">
                              <w:rPr>
                                <w:rFonts w:cs="Arial"/>
                                <w:sz w:val="12"/>
                                <w:szCs w:val="12"/>
                              </w:rPr>
                              <w:t>8</w:t>
                            </w:r>
                            <w:r w:rsidRPr="00414FE7">
                              <w:rPr>
                                <w:rFonts w:cs="Arial"/>
                                <w:sz w:val="12"/>
                                <w:szCs w:val="12"/>
                              </w:rPr>
                              <w:t>), SEP</w:t>
                            </w:r>
                            <w:r w:rsidR="00592196" w:rsidRPr="00414FE7">
                              <w:rPr>
                                <w:rFonts w:cs="Arial"/>
                                <w:sz w:val="12"/>
                                <w:szCs w:val="12"/>
                              </w:rPr>
                              <w:t>-</w:t>
                            </w:r>
                            <w:proofErr w:type="spellStart"/>
                            <w:r w:rsidR="00592196" w:rsidRPr="00414FE7">
                              <w:rPr>
                                <w:rFonts w:cs="Arial"/>
                                <w:sz w:val="12"/>
                                <w:szCs w:val="12"/>
                              </w:rPr>
                              <w:t>DGP</w:t>
                            </w:r>
                            <w:r w:rsidR="007915C6" w:rsidRPr="00414FE7">
                              <w:rPr>
                                <w:rFonts w:cs="Arial"/>
                                <w:sz w:val="12"/>
                                <w:szCs w:val="12"/>
                              </w:rPr>
                              <w:t>Py</w:t>
                            </w:r>
                            <w:r w:rsidR="00592196" w:rsidRPr="00414FE7">
                              <w:rPr>
                                <w:rFonts w:cs="Arial"/>
                                <w:sz w:val="12"/>
                                <w:szCs w:val="12"/>
                              </w:rPr>
                              <w:t>EE</w:t>
                            </w:r>
                            <w:proofErr w:type="spellEnd"/>
                            <w:r w:rsidRPr="00414FE7">
                              <w:rPr>
                                <w:rFonts w:cs="Arial"/>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E5807B" id="AutoShape 3" o:spid="_x0000_s1027" style="position:absolute;margin-left:43.4pt;margin-top:4.35pt;width:375.05pt;height:27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">
                <v:textbox>
                  <w:txbxContent>
                    <w:p w14:paraId="72F985AE" w14:textId="78F7D6AC" w:rsidR="00566B81" w:rsidRPr="0054404C" w:rsidRDefault="00566B81" w:rsidP="00566B81">
                      <w:pPr>
                        <w:ind w:right="108"/>
                        <w:rPr>
                          <w:rFonts w:cs="Arial"/>
                          <w:b/>
                          <w:sz w:val="16"/>
                          <w:szCs w:val="16"/>
                        </w:rPr>
                      </w:pPr>
                      <w:r w:rsidRPr="0054404C">
                        <w:rPr>
                          <w:rFonts w:cs="Arial"/>
                          <w:b/>
                          <w:sz w:val="16"/>
                          <w:szCs w:val="16"/>
                        </w:rPr>
                        <w:t>Información de referencia</w:t>
                      </w:r>
                    </w:p>
                    <w:p w14:paraId="698A5C18" w14:textId="301184AA" w:rsidR="00877537" w:rsidRPr="00414FE7" w:rsidRDefault="00566B81" w:rsidP="00566B81">
                      <w:pPr>
                        <w:ind w:right="108"/>
                        <w:jc w:val="center"/>
                        <w:rPr>
                          <w:rFonts w:cs="Arial"/>
                          <w:sz w:val="16"/>
                          <w:szCs w:val="16"/>
                          <w:lang w:val="es-MX"/>
                        </w:rPr>
                      </w:pPr>
                      <w:r w:rsidRPr="0026703F">
                        <w:rPr>
                          <w:rFonts w:cs="Arial"/>
                          <w:sz w:val="16"/>
                          <w:szCs w:val="16"/>
                          <w:lang w:val="es-MX"/>
                        </w:rPr>
                        <w:t>Porcentaje de escuelas telesecundarias</w:t>
                      </w:r>
                      <w:r w:rsidR="002E005D" w:rsidRPr="0026703F">
                        <w:rPr>
                          <w:rFonts w:cs="Arial"/>
                          <w:sz w:val="16"/>
                          <w:szCs w:val="16"/>
                          <w:lang w:val="es-MX"/>
                        </w:rPr>
                        <w:t xml:space="preserve">, </w:t>
                      </w:r>
                      <w:r w:rsidR="002E005D" w:rsidRPr="0097750B">
                        <w:rPr>
                          <w:rFonts w:cs="Arial"/>
                          <w:sz w:val="16"/>
                          <w:szCs w:val="16"/>
                          <w:lang w:val="es-MX"/>
                        </w:rPr>
                        <w:t xml:space="preserve">secundarias comunitarias </w:t>
                      </w:r>
                      <w:r w:rsidR="002E005D" w:rsidRPr="00203739">
                        <w:rPr>
                          <w:rFonts w:cs="Arial"/>
                          <w:sz w:val="16"/>
                          <w:szCs w:val="16"/>
                          <w:lang w:val="es-MX"/>
                        </w:rPr>
                        <w:t xml:space="preserve">y </w:t>
                      </w:r>
                      <w:r w:rsidR="00A873C7" w:rsidRPr="00B80E34">
                        <w:rPr>
                          <w:rFonts w:cs="Arial"/>
                          <w:sz w:val="16"/>
                          <w:szCs w:val="16"/>
                          <w:lang w:val="es-MX"/>
                        </w:rPr>
                        <w:t xml:space="preserve">secundarias </w:t>
                      </w:r>
                      <w:r w:rsidR="002E005D" w:rsidRPr="00B80E34">
                        <w:rPr>
                          <w:rFonts w:cs="Arial"/>
                          <w:sz w:val="16"/>
                          <w:szCs w:val="16"/>
                          <w:lang w:val="es-MX"/>
                        </w:rPr>
                        <w:t>para migrantes</w:t>
                      </w:r>
                      <w:r w:rsidRPr="00B80E34">
                        <w:rPr>
                          <w:rFonts w:cs="Arial"/>
                          <w:sz w:val="16"/>
                          <w:szCs w:val="16"/>
                          <w:lang w:val="es-MX"/>
                        </w:rPr>
                        <w:t xml:space="preserve"> unitarias y bidocentes</w:t>
                      </w:r>
                      <w:r w:rsidR="00E45AF3" w:rsidRPr="00B80E34">
                        <w:rPr>
                          <w:rFonts w:cs="Arial"/>
                          <w:sz w:val="16"/>
                          <w:szCs w:val="16"/>
                          <w:lang w:val="es-MX"/>
                        </w:rPr>
                        <w:t xml:space="preserve"> </w:t>
                      </w:r>
                      <w:r w:rsidR="002D2F7B" w:rsidRPr="00B80E34">
                        <w:rPr>
                          <w:rFonts w:cs="Arial"/>
                          <w:sz w:val="16"/>
                          <w:szCs w:val="16"/>
                          <w:lang w:val="es-MX"/>
                        </w:rPr>
                        <w:t xml:space="preserve">de </w:t>
                      </w:r>
                      <w:r w:rsidR="002D2F7B" w:rsidRPr="00414FE7">
                        <w:rPr>
                          <w:rFonts w:cs="Arial"/>
                          <w:sz w:val="16"/>
                          <w:szCs w:val="16"/>
                          <w:lang w:val="es-MX"/>
                        </w:rPr>
                        <w:t>organización completa</w:t>
                      </w:r>
                      <w:r w:rsidR="007D7D98" w:rsidRPr="00414FE7">
                        <w:rPr>
                          <w:rFonts w:cs="Arial"/>
                          <w:sz w:val="16"/>
                          <w:szCs w:val="16"/>
                          <w:lang w:val="es-MX"/>
                        </w:rPr>
                        <w:t xml:space="preserve"> </w:t>
                      </w:r>
                      <w:r w:rsidRPr="00414FE7">
                        <w:rPr>
                          <w:rFonts w:cs="Arial"/>
                          <w:sz w:val="16"/>
                          <w:szCs w:val="16"/>
                          <w:lang w:val="es-MX"/>
                        </w:rPr>
                        <w:t xml:space="preserve">respecto al total nacional </w:t>
                      </w:r>
                      <w:r w:rsidR="00451006" w:rsidRPr="00414FE7">
                        <w:rPr>
                          <w:rFonts w:cs="Arial"/>
                          <w:sz w:val="16"/>
                          <w:szCs w:val="16"/>
                          <w:lang w:val="es-MX"/>
                        </w:rPr>
                        <w:t xml:space="preserve">de cada tipo de </w:t>
                      </w:r>
                      <w:r w:rsidR="0082033E" w:rsidRPr="00414FE7">
                        <w:rPr>
                          <w:rFonts w:cs="Arial"/>
                          <w:sz w:val="16"/>
                          <w:szCs w:val="16"/>
                          <w:lang w:val="es-MX"/>
                        </w:rPr>
                        <w:t>servicio</w:t>
                      </w:r>
                      <w:r w:rsidR="007D7D98" w:rsidRPr="00414FE7">
                        <w:rPr>
                          <w:rFonts w:cs="Arial"/>
                          <w:sz w:val="16"/>
                          <w:szCs w:val="16"/>
                          <w:lang w:val="es-MX"/>
                        </w:rPr>
                        <w:t xml:space="preserve"> (201</w:t>
                      </w:r>
                      <w:r w:rsidR="00840285" w:rsidRPr="00414FE7">
                        <w:rPr>
                          <w:rFonts w:cs="Arial"/>
                          <w:sz w:val="16"/>
                          <w:szCs w:val="16"/>
                          <w:lang w:val="es-MX"/>
                        </w:rPr>
                        <w:t>7</w:t>
                      </w:r>
                      <w:r w:rsidR="007D7D98" w:rsidRPr="00414FE7">
                        <w:rPr>
                          <w:rFonts w:cs="Arial"/>
                          <w:sz w:val="16"/>
                          <w:szCs w:val="16"/>
                          <w:lang w:val="es-MX"/>
                        </w:rPr>
                        <w:t>-201</w:t>
                      </w:r>
                      <w:r w:rsidR="00840285" w:rsidRPr="00414FE7">
                        <w:rPr>
                          <w:rFonts w:cs="Arial"/>
                          <w:sz w:val="16"/>
                          <w:szCs w:val="16"/>
                          <w:lang w:val="es-MX"/>
                        </w:rPr>
                        <w:t>8</w:t>
                      </w:r>
                      <w:r w:rsidR="007D7D98" w:rsidRPr="00414FE7">
                        <w:rPr>
                          <w:rFonts w:cs="Arial"/>
                          <w:sz w:val="16"/>
                          <w:szCs w:val="16"/>
                          <w:lang w:val="es-MX"/>
                        </w:rPr>
                        <w:t>)</w:t>
                      </w:r>
                    </w:p>
                    <w:p w14:paraId="7BFBF688" w14:textId="77777777" w:rsidR="0003585A" w:rsidRPr="00414FE7" w:rsidRDefault="0003585A" w:rsidP="00566B81">
                      <w:pPr>
                        <w:ind w:right="108"/>
                        <w:jc w:val="center"/>
                        <w:rPr>
                          <w:rFonts w:cs="Arial"/>
                          <w:sz w:val="16"/>
                          <w:szCs w:val="16"/>
                          <w:lang w:val="es-MX"/>
                        </w:rPr>
                      </w:pPr>
                    </w:p>
                    <w:p w14:paraId="00525E8B" w14:textId="51221275" w:rsidR="00C74AEE" w:rsidRPr="00414FE7" w:rsidRDefault="00C74AEE" w:rsidP="00566B81">
                      <w:pPr>
                        <w:ind w:right="108"/>
                        <w:jc w:val="center"/>
                        <w:rPr>
                          <w:rFonts w:ascii="Times New Roman" w:hAnsi="Times New Roman"/>
                          <w:sz w:val="20"/>
                          <w:szCs w:val="20"/>
                          <w:lang w:val="es-MX" w:eastAsia="es-MX"/>
                        </w:rPr>
                      </w:pPr>
                      <w:r w:rsidRPr="00414FE7">
                        <w:rPr>
                          <w:lang w:val="es-MX"/>
                        </w:rPr>
                        <w:fldChar w:fldCharType="begin"/>
                      </w:r>
                      <w:r w:rsidRPr="00414FE7">
                        <w:rPr>
                          <w:lang w:val="es-MX"/>
                        </w:rPr>
                        <w:instrText xml:space="preserve"> LINK Excel.Sheet.12 "Libro1" "Hoja1!F12C1:F19C5" \a \f 4 \h </w:instrText>
                      </w:r>
                      <w:r w:rsidR="00E32AAC" w:rsidRPr="00414FE7">
                        <w:rPr>
                          <w:lang w:val="es-MX"/>
                        </w:rPr>
                        <w:instrText xml:space="preserve"> \* MERGEFORMAT </w:instrText>
                      </w:r>
                      <w:r w:rsidRPr="00414FE7">
                        <w:rPr>
                          <w:lang w:val="es-MX"/>
                        </w:rPr>
                        <w:fldChar w:fldCharType="separate"/>
                      </w:r>
                    </w:p>
                    <w:tbl>
                      <w:tblPr>
                        <w:tblW w:w="6440" w:type="dxa"/>
                        <w:tblCellMar>
                          <w:left w:w="70" w:type="dxa"/>
                          <w:right w:w="70" w:type="dxa"/>
                        </w:tblCellMar>
                        <w:tblLook w:val="04A0" w:firstRow="1" w:lastRow="0" w:firstColumn="1" w:lastColumn="0" w:noHBand="0" w:noVBand="1"/>
                      </w:tblPr>
                      <w:tblGrid>
                        <w:gridCol w:w="1640"/>
                        <w:gridCol w:w="1200"/>
                        <w:gridCol w:w="1200"/>
                        <w:gridCol w:w="1200"/>
                        <w:gridCol w:w="1200"/>
                      </w:tblGrid>
                      <w:tr w:rsidR="00C74AEE" w:rsidRPr="00414FE7" w14:paraId="2267DC0A" w14:textId="77777777" w:rsidTr="00C74AEE">
                        <w:trPr>
                          <w:trHeight w:val="300"/>
                        </w:trPr>
                        <w:tc>
                          <w:tcPr>
                            <w:tcW w:w="64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1AD72" w14:textId="549D56DA" w:rsidR="00C74AEE" w:rsidRPr="00414FE7" w:rsidRDefault="007915C6" w:rsidP="00840285">
                            <w:pPr>
                              <w:jc w:val="center"/>
                              <w:rPr>
                                <w:rFonts w:cs="Arial"/>
                                <w:b/>
                                <w:bCs/>
                                <w:color w:val="000000"/>
                                <w:sz w:val="16"/>
                                <w:szCs w:val="16"/>
                                <w:lang w:val="es-MX" w:eastAsia="es-MX"/>
                              </w:rPr>
                            </w:pPr>
                            <w:r w:rsidRPr="00414FE7">
                              <w:rPr>
                                <w:rFonts w:cs="Arial"/>
                                <w:b/>
                                <w:bCs/>
                                <w:color w:val="000000"/>
                                <w:sz w:val="16"/>
                                <w:szCs w:val="16"/>
                                <w:lang w:val="es-MX" w:eastAsia="es-MX"/>
                              </w:rPr>
                              <w:t>Ciclo escolar 201</w:t>
                            </w:r>
                            <w:r w:rsidR="00840285" w:rsidRPr="00414FE7">
                              <w:rPr>
                                <w:rFonts w:cs="Arial"/>
                                <w:b/>
                                <w:bCs/>
                                <w:color w:val="000000"/>
                                <w:sz w:val="16"/>
                                <w:szCs w:val="16"/>
                                <w:lang w:val="es-MX" w:eastAsia="es-MX"/>
                              </w:rPr>
                              <w:t>7</w:t>
                            </w:r>
                            <w:r w:rsidR="00C74AEE" w:rsidRPr="00414FE7">
                              <w:rPr>
                                <w:rFonts w:cs="Arial"/>
                                <w:b/>
                                <w:bCs/>
                                <w:color w:val="000000"/>
                                <w:sz w:val="16"/>
                                <w:szCs w:val="16"/>
                                <w:lang w:val="es-MX" w:eastAsia="es-MX"/>
                              </w:rPr>
                              <w:t>-201</w:t>
                            </w:r>
                            <w:r w:rsidR="00840285" w:rsidRPr="00414FE7">
                              <w:rPr>
                                <w:rFonts w:cs="Arial"/>
                                <w:b/>
                                <w:bCs/>
                                <w:color w:val="000000"/>
                                <w:sz w:val="16"/>
                                <w:szCs w:val="16"/>
                                <w:lang w:val="es-MX" w:eastAsia="es-MX"/>
                              </w:rPr>
                              <w:t>8</w:t>
                            </w:r>
                          </w:p>
                        </w:tc>
                      </w:tr>
                      <w:tr w:rsidR="00C74AEE" w:rsidRPr="00414FE7" w14:paraId="32EE0050" w14:textId="77777777" w:rsidTr="00C74AEE">
                        <w:trPr>
                          <w:trHeight w:val="450"/>
                        </w:trPr>
                        <w:tc>
                          <w:tcPr>
                            <w:tcW w:w="1640" w:type="dxa"/>
                            <w:tcBorders>
                              <w:top w:val="nil"/>
                              <w:left w:val="single" w:sz="4" w:space="0" w:color="auto"/>
                              <w:bottom w:val="single" w:sz="4" w:space="0" w:color="auto"/>
                              <w:right w:val="single" w:sz="4" w:space="0" w:color="auto"/>
                            </w:tcBorders>
                            <w:shd w:val="clear" w:color="auto" w:fill="auto"/>
                            <w:vAlign w:val="center"/>
                            <w:hideMark/>
                          </w:tcPr>
                          <w:p w14:paraId="0571239C" w14:textId="0465D17B" w:rsidR="00C74AEE" w:rsidRPr="00414FE7" w:rsidRDefault="00E32AAC" w:rsidP="0026703F">
                            <w:pPr>
                              <w:jc w:val="center"/>
                              <w:rPr>
                                <w:rFonts w:cs="Arial"/>
                                <w:b/>
                                <w:bCs/>
                                <w:color w:val="000000"/>
                                <w:sz w:val="16"/>
                                <w:szCs w:val="16"/>
                                <w:lang w:val="es-MX" w:eastAsia="es-MX"/>
                              </w:rPr>
                            </w:pPr>
                            <w:r w:rsidRPr="00414FE7">
                              <w:rPr>
                                <w:rFonts w:cs="Arial"/>
                                <w:b/>
                                <w:bCs/>
                                <w:color w:val="000000"/>
                                <w:sz w:val="16"/>
                                <w:szCs w:val="16"/>
                                <w:lang w:val="es-MX" w:eastAsia="es-MX"/>
                              </w:rPr>
                              <w:t>Tipo de servicio</w:t>
                            </w:r>
                          </w:p>
                        </w:tc>
                        <w:tc>
                          <w:tcPr>
                            <w:tcW w:w="1200" w:type="dxa"/>
                            <w:tcBorders>
                              <w:top w:val="nil"/>
                              <w:left w:val="nil"/>
                              <w:bottom w:val="single" w:sz="4" w:space="0" w:color="auto"/>
                              <w:right w:val="single" w:sz="4" w:space="0" w:color="auto"/>
                            </w:tcBorders>
                            <w:shd w:val="clear" w:color="auto" w:fill="auto"/>
                            <w:vAlign w:val="center"/>
                            <w:hideMark/>
                          </w:tcPr>
                          <w:p w14:paraId="606FBF15" w14:textId="7189E20F" w:rsidR="00C74AEE" w:rsidRPr="00414FE7" w:rsidRDefault="00C74AEE" w:rsidP="00C74AEE">
                            <w:pPr>
                              <w:jc w:val="center"/>
                              <w:rPr>
                                <w:rFonts w:cs="Arial"/>
                                <w:bCs/>
                                <w:color w:val="000000"/>
                                <w:sz w:val="16"/>
                                <w:szCs w:val="16"/>
                                <w:lang w:val="es-MX" w:eastAsia="es-MX"/>
                              </w:rPr>
                            </w:pPr>
                          </w:p>
                        </w:tc>
                        <w:tc>
                          <w:tcPr>
                            <w:tcW w:w="1200" w:type="dxa"/>
                            <w:tcBorders>
                              <w:top w:val="nil"/>
                              <w:left w:val="nil"/>
                              <w:bottom w:val="single" w:sz="4" w:space="0" w:color="auto"/>
                              <w:right w:val="single" w:sz="4" w:space="0" w:color="auto"/>
                            </w:tcBorders>
                            <w:shd w:val="clear" w:color="auto" w:fill="auto"/>
                            <w:vAlign w:val="center"/>
                            <w:hideMark/>
                          </w:tcPr>
                          <w:p w14:paraId="3A02774C" w14:textId="77777777" w:rsidR="00C74AEE" w:rsidRPr="00414FE7" w:rsidRDefault="00C74AEE" w:rsidP="0026703F">
                            <w:pPr>
                              <w:jc w:val="center"/>
                              <w:rPr>
                                <w:rFonts w:cs="Arial"/>
                                <w:b/>
                                <w:bCs/>
                                <w:color w:val="000000"/>
                                <w:sz w:val="16"/>
                                <w:szCs w:val="16"/>
                                <w:lang w:val="es-MX" w:eastAsia="es-MX"/>
                              </w:rPr>
                            </w:pPr>
                            <w:r w:rsidRPr="00414FE7">
                              <w:rPr>
                                <w:rFonts w:cs="Arial"/>
                                <w:b/>
                                <w:bCs/>
                                <w:color w:val="000000"/>
                                <w:sz w:val="16"/>
                                <w:szCs w:val="16"/>
                                <w:lang w:eastAsia="es-MX"/>
                              </w:rPr>
                              <w:t>Unitarias</w:t>
                            </w:r>
                          </w:p>
                        </w:tc>
                        <w:tc>
                          <w:tcPr>
                            <w:tcW w:w="1200" w:type="dxa"/>
                            <w:tcBorders>
                              <w:top w:val="nil"/>
                              <w:left w:val="nil"/>
                              <w:bottom w:val="single" w:sz="4" w:space="0" w:color="auto"/>
                              <w:right w:val="single" w:sz="4" w:space="0" w:color="auto"/>
                            </w:tcBorders>
                            <w:shd w:val="clear" w:color="auto" w:fill="auto"/>
                            <w:vAlign w:val="center"/>
                            <w:hideMark/>
                          </w:tcPr>
                          <w:p w14:paraId="0BA78351" w14:textId="77777777" w:rsidR="00C74AEE" w:rsidRPr="00414FE7" w:rsidRDefault="00C74AEE" w:rsidP="0026703F">
                            <w:pPr>
                              <w:jc w:val="center"/>
                              <w:rPr>
                                <w:rFonts w:cs="Arial"/>
                                <w:b/>
                                <w:bCs/>
                                <w:color w:val="000000"/>
                                <w:sz w:val="16"/>
                                <w:szCs w:val="16"/>
                                <w:lang w:val="es-MX" w:eastAsia="es-MX"/>
                              </w:rPr>
                            </w:pPr>
                            <w:r w:rsidRPr="00414FE7">
                              <w:rPr>
                                <w:rFonts w:cs="Arial"/>
                                <w:b/>
                                <w:bCs/>
                                <w:color w:val="000000"/>
                                <w:sz w:val="16"/>
                                <w:szCs w:val="16"/>
                                <w:lang w:eastAsia="es-MX"/>
                              </w:rPr>
                              <w:t>Bidocentes</w:t>
                            </w:r>
                          </w:p>
                        </w:tc>
                        <w:tc>
                          <w:tcPr>
                            <w:tcW w:w="1200" w:type="dxa"/>
                            <w:tcBorders>
                              <w:top w:val="nil"/>
                              <w:left w:val="nil"/>
                              <w:bottom w:val="single" w:sz="4" w:space="0" w:color="auto"/>
                              <w:right w:val="single" w:sz="4" w:space="0" w:color="auto"/>
                            </w:tcBorders>
                            <w:shd w:val="clear" w:color="auto" w:fill="auto"/>
                            <w:vAlign w:val="center"/>
                            <w:hideMark/>
                          </w:tcPr>
                          <w:p w14:paraId="346572B3" w14:textId="1397A0F5" w:rsidR="00C74AEE" w:rsidRPr="00414FE7" w:rsidRDefault="00644CBC" w:rsidP="00203739">
                            <w:pPr>
                              <w:jc w:val="center"/>
                              <w:rPr>
                                <w:rFonts w:cs="Arial"/>
                                <w:b/>
                                <w:bCs/>
                                <w:color w:val="000000"/>
                                <w:sz w:val="16"/>
                                <w:szCs w:val="16"/>
                                <w:lang w:val="es-MX" w:eastAsia="es-MX"/>
                              </w:rPr>
                            </w:pPr>
                            <w:r w:rsidRPr="00414FE7">
                              <w:rPr>
                                <w:rFonts w:cs="Arial"/>
                                <w:b/>
                                <w:bCs/>
                                <w:color w:val="000000"/>
                                <w:sz w:val="16"/>
                                <w:szCs w:val="16"/>
                                <w:lang w:eastAsia="es-MX"/>
                              </w:rPr>
                              <w:t>Total unitarias y bidocentes</w:t>
                            </w:r>
                          </w:p>
                        </w:tc>
                      </w:tr>
                      <w:tr w:rsidR="00EF21A2" w:rsidRPr="00414FE7" w14:paraId="2997B56F" w14:textId="77777777" w:rsidTr="00D77ACB">
                        <w:trPr>
                          <w:trHeight w:val="300"/>
                        </w:trPr>
                        <w:tc>
                          <w:tcPr>
                            <w:tcW w:w="1640" w:type="dxa"/>
                            <w:vMerge w:val="restart"/>
                            <w:tcBorders>
                              <w:top w:val="nil"/>
                              <w:left w:val="single" w:sz="4" w:space="0" w:color="auto"/>
                              <w:bottom w:val="single" w:sz="4" w:space="0" w:color="auto"/>
                              <w:right w:val="single" w:sz="4" w:space="0" w:color="auto"/>
                            </w:tcBorders>
                            <w:shd w:val="clear" w:color="auto" w:fill="auto"/>
                            <w:vAlign w:val="center"/>
                            <w:hideMark/>
                          </w:tcPr>
                          <w:p w14:paraId="6F8EDB3F"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Telesecundaria</w:t>
                            </w:r>
                          </w:p>
                        </w:tc>
                        <w:tc>
                          <w:tcPr>
                            <w:tcW w:w="1200" w:type="dxa"/>
                            <w:tcBorders>
                              <w:top w:val="nil"/>
                              <w:left w:val="nil"/>
                              <w:bottom w:val="single" w:sz="4" w:space="0" w:color="auto"/>
                              <w:right w:val="single" w:sz="4" w:space="0" w:color="auto"/>
                            </w:tcBorders>
                            <w:shd w:val="clear" w:color="auto" w:fill="auto"/>
                            <w:vAlign w:val="center"/>
                            <w:hideMark/>
                          </w:tcPr>
                          <w:p w14:paraId="567DE616"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w:t>
                            </w:r>
                          </w:p>
                        </w:tc>
                        <w:tc>
                          <w:tcPr>
                            <w:tcW w:w="1200" w:type="dxa"/>
                            <w:tcBorders>
                              <w:top w:val="nil"/>
                              <w:left w:val="nil"/>
                              <w:bottom w:val="single" w:sz="4" w:space="0" w:color="auto"/>
                              <w:right w:val="single" w:sz="4" w:space="0" w:color="auto"/>
                            </w:tcBorders>
                            <w:shd w:val="clear" w:color="auto" w:fill="auto"/>
                            <w:vAlign w:val="bottom"/>
                          </w:tcPr>
                          <w:p w14:paraId="36F0D0E7" w14:textId="62A917B8"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9.3</w:t>
                            </w:r>
                          </w:p>
                        </w:tc>
                        <w:tc>
                          <w:tcPr>
                            <w:tcW w:w="1200" w:type="dxa"/>
                            <w:tcBorders>
                              <w:top w:val="nil"/>
                              <w:left w:val="nil"/>
                              <w:bottom w:val="single" w:sz="4" w:space="0" w:color="auto"/>
                              <w:right w:val="single" w:sz="4" w:space="0" w:color="auto"/>
                            </w:tcBorders>
                            <w:shd w:val="clear" w:color="auto" w:fill="auto"/>
                            <w:vAlign w:val="bottom"/>
                          </w:tcPr>
                          <w:p w14:paraId="4F8B11DF" w14:textId="2D6425EE"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13.0</w:t>
                            </w:r>
                          </w:p>
                        </w:tc>
                        <w:tc>
                          <w:tcPr>
                            <w:tcW w:w="1200" w:type="dxa"/>
                            <w:tcBorders>
                              <w:top w:val="nil"/>
                              <w:left w:val="nil"/>
                              <w:bottom w:val="single" w:sz="4" w:space="0" w:color="auto"/>
                              <w:right w:val="single" w:sz="4" w:space="0" w:color="auto"/>
                            </w:tcBorders>
                            <w:shd w:val="clear" w:color="auto" w:fill="auto"/>
                            <w:vAlign w:val="bottom"/>
                          </w:tcPr>
                          <w:p w14:paraId="25397DB1" w14:textId="5385A016"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22.3</w:t>
                            </w:r>
                          </w:p>
                        </w:tc>
                      </w:tr>
                      <w:tr w:rsidR="00EF21A2" w:rsidRPr="00414FE7" w14:paraId="4C758437" w14:textId="77777777" w:rsidTr="00610893">
                        <w:trPr>
                          <w:trHeight w:val="300"/>
                        </w:trPr>
                        <w:tc>
                          <w:tcPr>
                            <w:tcW w:w="1640" w:type="dxa"/>
                            <w:vMerge/>
                            <w:tcBorders>
                              <w:top w:val="nil"/>
                              <w:left w:val="single" w:sz="4" w:space="0" w:color="auto"/>
                              <w:bottom w:val="single" w:sz="4" w:space="0" w:color="auto"/>
                              <w:right w:val="single" w:sz="4" w:space="0" w:color="auto"/>
                            </w:tcBorders>
                            <w:vAlign w:val="center"/>
                            <w:hideMark/>
                          </w:tcPr>
                          <w:p w14:paraId="3C183DC3" w14:textId="77777777" w:rsidR="00EF21A2" w:rsidRPr="00414FE7" w:rsidRDefault="00EF21A2" w:rsidP="00EF21A2">
                            <w:pPr>
                              <w:rPr>
                                <w:rFonts w:cs="Arial"/>
                                <w:bCs/>
                                <w:color w:val="000000"/>
                                <w:sz w:val="16"/>
                                <w:szCs w:val="16"/>
                                <w:lang w:val="es-MX" w:eastAsia="es-MX"/>
                              </w:rPr>
                            </w:pPr>
                          </w:p>
                        </w:tc>
                        <w:tc>
                          <w:tcPr>
                            <w:tcW w:w="1200" w:type="dxa"/>
                            <w:tcBorders>
                              <w:top w:val="nil"/>
                              <w:left w:val="nil"/>
                              <w:bottom w:val="single" w:sz="4" w:space="0" w:color="auto"/>
                              <w:right w:val="single" w:sz="4" w:space="0" w:color="auto"/>
                            </w:tcBorders>
                            <w:shd w:val="clear" w:color="auto" w:fill="auto"/>
                            <w:vAlign w:val="center"/>
                            <w:hideMark/>
                          </w:tcPr>
                          <w:p w14:paraId="090644E6"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Absolutos </w:t>
                            </w:r>
                          </w:p>
                        </w:tc>
                        <w:tc>
                          <w:tcPr>
                            <w:tcW w:w="1200" w:type="dxa"/>
                            <w:tcBorders>
                              <w:top w:val="nil"/>
                              <w:left w:val="nil"/>
                              <w:bottom w:val="single" w:sz="4" w:space="0" w:color="auto"/>
                              <w:right w:val="single" w:sz="4" w:space="0" w:color="auto"/>
                            </w:tcBorders>
                            <w:shd w:val="clear" w:color="auto" w:fill="auto"/>
                            <w:vAlign w:val="center"/>
                          </w:tcPr>
                          <w:p w14:paraId="508DE3FA" w14:textId="7EE4AC86"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1 752</w:t>
                            </w:r>
                          </w:p>
                        </w:tc>
                        <w:tc>
                          <w:tcPr>
                            <w:tcW w:w="1200" w:type="dxa"/>
                            <w:tcBorders>
                              <w:top w:val="nil"/>
                              <w:left w:val="nil"/>
                              <w:bottom w:val="single" w:sz="4" w:space="0" w:color="auto"/>
                              <w:right w:val="single" w:sz="4" w:space="0" w:color="auto"/>
                            </w:tcBorders>
                            <w:shd w:val="clear" w:color="auto" w:fill="auto"/>
                            <w:vAlign w:val="center"/>
                          </w:tcPr>
                          <w:p w14:paraId="6E6FBF0A" w14:textId="5C61D6A6"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2 430</w:t>
                            </w:r>
                          </w:p>
                        </w:tc>
                        <w:tc>
                          <w:tcPr>
                            <w:tcW w:w="1200" w:type="dxa"/>
                            <w:tcBorders>
                              <w:top w:val="nil"/>
                              <w:left w:val="nil"/>
                              <w:bottom w:val="single" w:sz="4" w:space="0" w:color="auto"/>
                              <w:right w:val="single" w:sz="4" w:space="0" w:color="auto"/>
                            </w:tcBorders>
                            <w:shd w:val="clear" w:color="auto" w:fill="auto"/>
                            <w:vAlign w:val="center"/>
                          </w:tcPr>
                          <w:p w14:paraId="5000DEF0" w14:textId="491904EA" w:rsidR="00EF21A2" w:rsidRPr="00414FE7" w:rsidRDefault="00F0040C" w:rsidP="00F0040C">
                            <w:pPr>
                              <w:jc w:val="right"/>
                              <w:rPr>
                                <w:rFonts w:cs="Arial"/>
                                <w:bCs/>
                                <w:color w:val="000000"/>
                                <w:sz w:val="16"/>
                                <w:szCs w:val="16"/>
                                <w:lang w:val="es-MX" w:eastAsia="es-MX"/>
                              </w:rPr>
                            </w:pPr>
                            <w:r w:rsidRPr="00414FE7">
                              <w:rPr>
                                <w:rFonts w:cs="Arial"/>
                                <w:bCs/>
                                <w:color w:val="000000"/>
                                <w:sz w:val="16"/>
                                <w:szCs w:val="16"/>
                                <w:lang w:val="es-MX" w:eastAsia="es-MX"/>
                              </w:rPr>
                              <w:t>4 182</w:t>
                            </w:r>
                          </w:p>
                        </w:tc>
                      </w:tr>
                      <w:tr w:rsidR="00EF21A2" w:rsidRPr="00414FE7" w14:paraId="1CE8731E" w14:textId="77777777" w:rsidTr="00EC2AC3">
                        <w:trPr>
                          <w:trHeight w:val="300"/>
                        </w:trPr>
                        <w:tc>
                          <w:tcPr>
                            <w:tcW w:w="16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35E0274"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Comunitaria </w:t>
                            </w:r>
                          </w:p>
                        </w:tc>
                        <w:tc>
                          <w:tcPr>
                            <w:tcW w:w="1200" w:type="dxa"/>
                            <w:tcBorders>
                              <w:top w:val="nil"/>
                              <w:left w:val="nil"/>
                              <w:bottom w:val="single" w:sz="4" w:space="0" w:color="auto"/>
                              <w:right w:val="single" w:sz="4" w:space="0" w:color="auto"/>
                            </w:tcBorders>
                            <w:shd w:val="clear" w:color="auto" w:fill="auto"/>
                            <w:vAlign w:val="center"/>
                            <w:hideMark/>
                          </w:tcPr>
                          <w:p w14:paraId="5890F920"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w:t>
                            </w:r>
                          </w:p>
                        </w:tc>
                        <w:tc>
                          <w:tcPr>
                            <w:tcW w:w="1200" w:type="dxa"/>
                            <w:tcBorders>
                              <w:top w:val="nil"/>
                              <w:left w:val="nil"/>
                              <w:bottom w:val="single" w:sz="4" w:space="0" w:color="auto"/>
                              <w:right w:val="single" w:sz="4" w:space="0" w:color="auto"/>
                            </w:tcBorders>
                            <w:shd w:val="clear" w:color="auto" w:fill="auto"/>
                            <w:noWrap/>
                            <w:vAlign w:val="center"/>
                          </w:tcPr>
                          <w:p w14:paraId="4CB22A6C" w14:textId="784C3C18" w:rsidR="00EF21A2" w:rsidRPr="00414FE7" w:rsidRDefault="00167CC4" w:rsidP="00167CC4">
                            <w:pPr>
                              <w:jc w:val="right"/>
                              <w:rPr>
                                <w:rFonts w:cs="Arial"/>
                                <w:bCs/>
                                <w:color w:val="000000"/>
                                <w:sz w:val="16"/>
                                <w:szCs w:val="16"/>
                                <w:lang w:val="es-MX" w:eastAsia="es-MX"/>
                              </w:rPr>
                            </w:pPr>
                            <w:r w:rsidRPr="00414FE7">
                              <w:rPr>
                                <w:rFonts w:cs="Arial"/>
                                <w:sz w:val="16"/>
                                <w:szCs w:val="16"/>
                              </w:rPr>
                              <w:t>34.1</w:t>
                            </w:r>
                          </w:p>
                        </w:tc>
                        <w:tc>
                          <w:tcPr>
                            <w:tcW w:w="1200" w:type="dxa"/>
                            <w:tcBorders>
                              <w:top w:val="nil"/>
                              <w:left w:val="nil"/>
                              <w:bottom w:val="single" w:sz="4" w:space="0" w:color="auto"/>
                              <w:right w:val="single" w:sz="4" w:space="0" w:color="auto"/>
                            </w:tcBorders>
                            <w:shd w:val="clear" w:color="auto" w:fill="auto"/>
                            <w:noWrap/>
                            <w:vAlign w:val="center"/>
                          </w:tcPr>
                          <w:p w14:paraId="6A125D5B" w14:textId="0FA0A7BA" w:rsidR="00EF21A2" w:rsidRPr="00414FE7" w:rsidRDefault="00167CC4" w:rsidP="00167CC4">
                            <w:pPr>
                              <w:jc w:val="right"/>
                              <w:rPr>
                                <w:rFonts w:cs="Arial"/>
                                <w:bCs/>
                                <w:color w:val="000000"/>
                                <w:sz w:val="16"/>
                                <w:szCs w:val="16"/>
                                <w:lang w:val="es-MX" w:eastAsia="es-MX"/>
                              </w:rPr>
                            </w:pPr>
                            <w:r w:rsidRPr="00414FE7">
                              <w:rPr>
                                <w:rFonts w:cs="Arial"/>
                                <w:sz w:val="16"/>
                                <w:szCs w:val="16"/>
                              </w:rPr>
                              <w:t>36.6</w:t>
                            </w:r>
                          </w:p>
                        </w:tc>
                        <w:tc>
                          <w:tcPr>
                            <w:tcW w:w="1200" w:type="dxa"/>
                            <w:tcBorders>
                              <w:top w:val="nil"/>
                              <w:left w:val="nil"/>
                              <w:bottom w:val="single" w:sz="4" w:space="0" w:color="auto"/>
                              <w:right w:val="single" w:sz="4" w:space="0" w:color="auto"/>
                            </w:tcBorders>
                            <w:shd w:val="clear" w:color="auto" w:fill="auto"/>
                            <w:noWrap/>
                            <w:vAlign w:val="center"/>
                          </w:tcPr>
                          <w:p w14:paraId="5D944A04" w14:textId="5A76F806" w:rsidR="00EF21A2" w:rsidRPr="00414FE7" w:rsidRDefault="00167CC4" w:rsidP="00167CC4">
                            <w:pPr>
                              <w:jc w:val="right"/>
                              <w:rPr>
                                <w:rFonts w:cs="Arial"/>
                                <w:bCs/>
                                <w:color w:val="000000"/>
                                <w:sz w:val="16"/>
                                <w:szCs w:val="16"/>
                                <w:lang w:val="es-MX" w:eastAsia="es-MX"/>
                              </w:rPr>
                            </w:pPr>
                            <w:r w:rsidRPr="00414FE7">
                              <w:rPr>
                                <w:rFonts w:cs="Arial"/>
                                <w:sz w:val="16"/>
                                <w:szCs w:val="16"/>
                              </w:rPr>
                              <w:t>70.7</w:t>
                            </w:r>
                          </w:p>
                        </w:tc>
                      </w:tr>
                      <w:tr w:rsidR="00EF21A2" w:rsidRPr="00414FE7" w14:paraId="320A0A0B" w14:textId="77777777" w:rsidTr="00C74AEE">
                        <w:trPr>
                          <w:trHeight w:val="300"/>
                        </w:trPr>
                        <w:tc>
                          <w:tcPr>
                            <w:tcW w:w="1640" w:type="dxa"/>
                            <w:vMerge/>
                            <w:tcBorders>
                              <w:top w:val="nil"/>
                              <w:left w:val="single" w:sz="4" w:space="0" w:color="auto"/>
                              <w:bottom w:val="single" w:sz="4" w:space="0" w:color="auto"/>
                              <w:right w:val="single" w:sz="4" w:space="0" w:color="auto"/>
                            </w:tcBorders>
                            <w:vAlign w:val="center"/>
                            <w:hideMark/>
                          </w:tcPr>
                          <w:p w14:paraId="1C94FC73" w14:textId="77777777" w:rsidR="00EF21A2" w:rsidRPr="00414FE7" w:rsidRDefault="00EF21A2" w:rsidP="00EF21A2">
                            <w:pPr>
                              <w:rPr>
                                <w:rFonts w:cs="Arial"/>
                                <w:bCs/>
                                <w:color w:val="000000"/>
                                <w:sz w:val="16"/>
                                <w:szCs w:val="16"/>
                                <w:lang w:val="es-MX" w:eastAsia="es-MX"/>
                              </w:rPr>
                            </w:pPr>
                          </w:p>
                        </w:tc>
                        <w:tc>
                          <w:tcPr>
                            <w:tcW w:w="1200" w:type="dxa"/>
                            <w:tcBorders>
                              <w:top w:val="nil"/>
                              <w:left w:val="nil"/>
                              <w:bottom w:val="single" w:sz="4" w:space="0" w:color="auto"/>
                              <w:right w:val="single" w:sz="4" w:space="0" w:color="auto"/>
                            </w:tcBorders>
                            <w:shd w:val="clear" w:color="auto" w:fill="auto"/>
                            <w:vAlign w:val="center"/>
                            <w:hideMark/>
                          </w:tcPr>
                          <w:p w14:paraId="1AA5843F"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Absolutos </w:t>
                            </w:r>
                          </w:p>
                        </w:tc>
                        <w:tc>
                          <w:tcPr>
                            <w:tcW w:w="1200" w:type="dxa"/>
                            <w:tcBorders>
                              <w:top w:val="nil"/>
                              <w:left w:val="nil"/>
                              <w:bottom w:val="single" w:sz="4" w:space="0" w:color="auto"/>
                              <w:right w:val="single" w:sz="4" w:space="0" w:color="auto"/>
                            </w:tcBorders>
                            <w:shd w:val="clear" w:color="auto" w:fill="auto"/>
                            <w:noWrap/>
                            <w:vAlign w:val="bottom"/>
                            <w:hideMark/>
                          </w:tcPr>
                          <w:p w14:paraId="5ACF2EC4" w14:textId="422CF92F" w:rsidR="00EF21A2" w:rsidRPr="00414FE7" w:rsidRDefault="00167CC4" w:rsidP="00167CC4">
                            <w:pPr>
                              <w:jc w:val="right"/>
                              <w:rPr>
                                <w:rFonts w:cs="Arial"/>
                                <w:bCs/>
                                <w:color w:val="000000"/>
                                <w:sz w:val="16"/>
                                <w:szCs w:val="16"/>
                                <w:lang w:val="es-MX" w:eastAsia="es-MX"/>
                              </w:rPr>
                            </w:pPr>
                            <w:r w:rsidRPr="00414FE7">
                              <w:rPr>
                                <w:rFonts w:cs="Arial"/>
                                <w:sz w:val="16"/>
                                <w:szCs w:val="16"/>
                              </w:rPr>
                              <w:t>1 209</w:t>
                            </w:r>
                            <w:r w:rsidR="00EF21A2" w:rsidRPr="00414FE7">
                              <w:rPr>
                                <w:rFonts w:cs="Arial"/>
                                <w:sz w:val="16"/>
                                <w:szCs w:val="16"/>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5941F2CA" w14:textId="0CCD52D7" w:rsidR="00EF21A2" w:rsidRPr="00414FE7" w:rsidRDefault="00167CC4" w:rsidP="00167CC4">
                            <w:pPr>
                              <w:jc w:val="right"/>
                              <w:rPr>
                                <w:rFonts w:cs="Arial"/>
                                <w:bCs/>
                                <w:color w:val="000000"/>
                                <w:sz w:val="16"/>
                                <w:szCs w:val="16"/>
                                <w:lang w:val="es-MX" w:eastAsia="es-MX"/>
                              </w:rPr>
                            </w:pPr>
                            <w:r w:rsidRPr="00414FE7">
                              <w:rPr>
                                <w:rFonts w:cs="Arial"/>
                                <w:sz w:val="16"/>
                                <w:szCs w:val="16"/>
                              </w:rPr>
                              <w:t>1 300</w:t>
                            </w:r>
                          </w:p>
                        </w:tc>
                        <w:tc>
                          <w:tcPr>
                            <w:tcW w:w="1200" w:type="dxa"/>
                            <w:tcBorders>
                              <w:top w:val="nil"/>
                              <w:left w:val="nil"/>
                              <w:bottom w:val="single" w:sz="4" w:space="0" w:color="auto"/>
                              <w:right w:val="single" w:sz="4" w:space="0" w:color="auto"/>
                            </w:tcBorders>
                            <w:shd w:val="clear" w:color="auto" w:fill="auto"/>
                            <w:noWrap/>
                            <w:vAlign w:val="bottom"/>
                            <w:hideMark/>
                          </w:tcPr>
                          <w:p w14:paraId="520C0433" w14:textId="52604EE6" w:rsidR="00EF21A2" w:rsidRPr="00414FE7" w:rsidRDefault="00167CC4" w:rsidP="00167CC4">
                            <w:pPr>
                              <w:jc w:val="right"/>
                              <w:rPr>
                                <w:rFonts w:cs="Arial"/>
                                <w:bCs/>
                                <w:color w:val="000000"/>
                                <w:sz w:val="16"/>
                                <w:szCs w:val="16"/>
                                <w:lang w:val="es-MX" w:eastAsia="es-MX"/>
                              </w:rPr>
                            </w:pPr>
                            <w:r w:rsidRPr="00414FE7">
                              <w:rPr>
                                <w:rFonts w:cs="Arial"/>
                                <w:sz w:val="16"/>
                                <w:szCs w:val="16"/>
                              </w:rPr>
                              <w:t>2 509</w:t>
                            </w:r>
                            <w:r w:rsidR="00EF21A2" w:rsidRPr="00414FE7">
                              <w:rPr>
                                <w:rFonts w:cs="Arial"/>
                                <w:sz w:val="16"/>
                                <w:szCs w:val="16"/>
                              </w:rPr>
                              <w:t xml:space="preserve"> </w:t>
                            </w:r>
                          </w:p>
                        </w:tc>
                      </w:tr>
                      <w:tr w:rsidR="00EF21A2" w:rsidRPr="00414FE7" w14:paraId="642B4462" w14:textId="77777777" w:rsidTr="0082033E">
                        <w:trPr>
                          <w:trHeight w:val="300"/>
                        </w:trPr>
                        <w:tc>
                          <w:tcPr>
                            <w:tcW w:w="16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63028F4"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Para migrantes </w:t>
                            </w:r>
                          </w:p>
                        </w:tc>
                        <w:tc>
                          <w:tcPr>
                            <w:tcW w:w="1200" w:type="dxa"/>
                            <w:tcBorders>
                              <w:top w:val="nil"/>
                              <w:left w:val="nil"/>
                              <w:bottom w:val="single" w:sz="4" w:space="0" w:color="auto"/>
                              <w:right w:val="single" w:sz="4" w:space="0" w:color="auto"/>
                            </w:tcBorders>
                            <w:shd w:val="clear" w:color="auto" w:fill="auto"/>
                            <w:vAlign w:val="center"/>
                            <w:hideMark/>
                          </w:tcPr>
                          <w:p w14:paraId="409FF421"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w:t>
                            </w:r>
                          </w:p>
                        </w:tc>
                        <w:tc>
                          <w:tcPr>
                            <w:tcW w:w="1200" w:type="dxa"/>
                            <w:tcBorders>
                              <w:top w:val="nil"/>
                              <w:left w:val="nil"/>
                              <w:bottom w:val="single" w:sz="4" w:space="0" w:color="auto"/>
                              <w:right w:val="single" w:sz="4" w:space="0" w:color="auto"/>
                            </w:tcBorders>
                            <w:shd w:val="clear" w:color="auto" w:fill="auto"/>
                            <w:noWrap/>
                            <w:vAlign w:val="bottom"/>
                          </w:tcPr>
                          <w:p w14:paraId="53656782" w14:textId="3E4BB266"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52.7</w:t>
                            </w:r>
                          </w:p>
                        </w:tc>
                        <w:tc>
                          <w:tcPr>
                            <w:tcW w:w="1200" w:type="dxa"/>
                            <w:tcBorders>
                              <w:top w:val="nil"/>
                              <w:left w:val="nil"/>
                              <w:bottom w:val="single" w:sz="4" w:space="0" w:color="auto"/>
                              <w:right w:val="single" w:sz="4" w:space="0" w:color="auto"/>
                            </w:tcBorders>
                            <w:shd w:val="clear" w:color="auto" w:fill="auto"/>
                            <w:noWrap/>
                            <w:vAlign w:val="bottom"/>
                          </w:tcPr>
                          <w:p w14:paraId="7440D80A" w14:textId="05BB4264"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14.5</w:t>
                            </w:r>
                          </w:p>
                        </w:tc>
                        <w:tc>
                          <w:tcPr>
                            <w:tcW w:w="1200" w:type="dxa"/>
                            <w:tcBorders>
                              <w:top w:val="nil"/>
                              <w:left w:val="nil"/>
                              <w:bottom w:val="single" w:sz="4" w:space="0" w:color="auto"/>
                              <w:right w:val="single" w:sz="4" w:space="0" w:color="auto"/>
                            </w:tcBorders>
                            <w:shd w:val="clear" w:color="auto" w:fill="auto"/>
                            <w:noWrap/>
                            <w:vAlign w:val="bottom"/>
                          </w:tcPr>
                          <w:p w14:paraId="76ACF476" w14:textId="2401B405"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67.3</w:t>
                            </w:r>
                          </w:p>
                        </w:tc>
                      </w:tr>
                      <w:tr w:rsidR="00EF21A2" w:rsidRPr="00414FE7" w14:paraId="3B028A0B" w14:textId="77777777" w:rsidTr="00C74AEE">
                        <w:trPr>
                          <w:trHeight w:val="300"/>
                        </w:trPr>
                        <w:tc>
                          <w:tcPr>
                            <w:tcW w:w="1640" w:type="dxa"/>
                            <w:vMerge/>
                            <w:tcBorders>
                              <w:top w:val="nil"/>
                              <w:left w:val="single" w:sz="4" w:space="0" w:color="auto"/>
                              <w:bottom w:val="single" w:sz="4" w:space="0" w:color="auto"/>
                              <w:right w:val="single" w:sz="4" w:space="0" w:color="auto"/>
                            </w:tcBorders>
                            <w:vAlign w:val="center"/>
                            <w:hideMark/>
                          </w:tcPr>
                          <w:p w14:paraId="6AEB44A2" w14:textId="77777777" w:rsidR="00EF21A2" w:rsidRPr="00414FE7" w:rsidRDefault="00EF21A2" w:rsidP="00EF21A2">
                            <w:pPr>
                              <w:rPr>
                                <w:rFonts w:cs="Arial"/>
                                <w:bCs/>
                                <w:color w:val="000000"/>
                                <w:sz w:val="16"/>
                                <w:szCs w:val="16"/>
                                <w:lang w:val="es-MX" w:eastAsia="es-MX"/>
                              </w:rPr>
                            </w:pPr>
                          </w:p>
                        </w:tc>
                        <w:tc>
                          <w:tcPr>
                            <w:tcW w:w="1200" w:type="dxa"/>
                            <w:tcBorders>
                              <w:top w:val="nil"/>
                              <w:left w:val="nil"/>
                              <w:bottom w:val="single" w:sz="4" w:space="0" w:color="auto"/>
                              <w:right w:val="single" w:sz="4" w:space="0" w:color="auto"/>
                            </w:tcBorders>
                            <w:shd w:val="clear" w:color="auto" w:fill="auto"/>
                            <w:vAlign w:val="center"/>
                            <w:hideMark/>
                          </w:tcPr>
                          <w:p w14:paraId="5EB4DD4E" w14:textId="77777777" w:rsidR="00EF21A2" w:rsidRPr="00414FE7" w:rsidRDefault="00EF21A2" w:rsidP="00EF21A2">
                            <w:pPr>
                              <w:jc w:val="center"/>
                              <w:rPr>
                                <w:rFonts w:cs="Arial"/>
                                <w:bCs/>
                                <w:color w:val="000000"/>
                                <w:sz w:val="16"/>
                                <w:szCs w:val="16"/>
                                <w:lang w:val="es-MX" w:eastAsia="es-MX"/>
                              </w:rPr>
                            </w:pPr>
                            <w:r w:rsidRPr="00414FE7">
                              <w:rPr>
                                <w:rFonts w:cs="Arial"/>
                                <w:bCs/>
                                <w:color w:val="000000"/>
                                <w:sz w:val="16"/>
                                <w:szCs w:val="16"/>
                                <w:lang w:val="es-MX" w:eastAsia="es-MX"/>
                              </w:rPr>
                              <w:t xml:space="preserve">Absolutos </w:t>
                            </w:r>
                          </w:p>
                        </w:tc>
                        <w:tc>
                          <w:tcPr>
                            <w:tcW w:w="1200" w:type="dxa"/>
                            <w:tcBorders>
                              <w:top w:val="nil"/>
                              <w:left w:val="nil"/>
                              <w:bottom w:val="single" w:sz="4" w:space="0" w:color="auto"/>
                              <w:right w:val="single" w:sz="4" w:space="0" w:color="auto"/>
                            </w:tcBorders>
                            <w:shd w:val="clear" w:color="auto" w:fill="auto"/>
                            <w:noWrap/>
                            <w:vAlign w:val="bottom"/>
                            <w:hideMark/>
                          </w:tcPr>
                          <w:p w14:paraId="5B9AED40" w14:textId="32AE03D0"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29</w:t>
                            </w:r>
                          </w:p>
                        </w:tc>
                        <w:tc>
                          <w:tcPr>
                            <w:tcW w:w="1200" w:type="dxa"/>
                            <w:tcBorders>
                              <w:top w:val="nil"/>
                              <w:left w:val="nil"/>
                              <w:bottom w:val="single" w:sz="4" w:space="0" w:color="auto"/>
                              <w:right w:val="single" w:sz="4" w:space="0" w:color="auto"/>
                            </w:tcBorders>
                            <w:shd w:val="clear" w:color="auto" w:fill="auto"/>
                            <w:noWrap/>
                            <w:vAlign w:val="bottom"/>
                            <w:hideMark/>
                          </w:tcPr>
                          <w:p w14:paraId="618C8A03" w14:textId="6819B7EF" w:rsidR="00EF21A2" w:rsidRPr="00414FE7" w:rsidRDefault="00167CC4" w:rsidP="00EF21A2">
                            <w:pPr>
                              <w:jc w:val="right"/>
                              <w:rPr>
                                <w:rFonts w:cs="Arial"/>
                                <w:bCs/>
                                <w:color w:val="000000"/>
                                <w:sz w:val="16"/>
                                <w:szCs w:val="16"/>
                                <w:lang w:val="es-MX" w:eastAsia="es-MX"/>
                              </w:rPr>
                            </w:pPr>
                            <w:r w:rsidRPr="00414FE7">
                              <w:rPr>
                                <w:rFonts w:cs="Arial"/>
                                <w:color w:val="000000"/>
                                <w:sz w:val="16"/>
                                <w:szCs w:val="16"/>
                              </w:rPr>
                              <w:t>8</w:t>
                            </w:r>
                          </w:p>
                        </w:tc>
                        <w:tc>
                          <w:tcPr>
                            <w:tcW w:w="1200" w:type="dxa"/>
                            <w:tcBorders>
                              <w:top w:val="nil"/>
                              <w:left w:val="nil"/>
                              <w:bottom w:val="single" w:sz="4" w:space="0" w:color="auto"/>
                              <w:right w:val="single" w:sz="4" w:space="0" w:color="auto"/>
                            </w:tcBorders>
                            <w:shd w:val="clear" w:color="auto" w:fill="auto"/>
                            <w:noWrap/>
                            <w:vAlign w:val="bottom"/>
                            <w:hideMark/>
                          </w:tcPr>
                          <w:p w14:paraId="67978628" w14:textId="4BBEE2F8" w:rsidR="00EF21A2" w:rsidRPr="00414FE7" w:rsidRDefault="00167CC4" w:rsidP="00167CC4">
                            <w:pPr>
                              <w:jc w:val="right"/>
                              <w:rPr>
                                <w:rFonts w:cs="Arial"/>
                                <w:bCs/>
                                <w:color w:val="000000"/>
                                <w:sz w:val="16"/>
                                <w:szCs w:val="16"/>
                                <w:lang w:val="es-MX" w:eastAsia="es-MX"/>
                              </w:rPr>
                            </w:pPr>
                            <w:r w:rsidRPr="00414FE7">
                              <w:rPr>
                                <w:rFonts w:cs="Arial"/>
                                <w:color w:val="000000"/>
                                <w:sz w:val="16"/>
                                <w:szCs w:val="16"/>
                              </w:rPr>
                              <w:t>37</w:t>
                            </w:r>
                          </w:p>
                        </w:tc>
                      </w:tr>
                    </w:tbl>
                    <w:p w14:paraId="6B7695D8" w14:textId="77777777" w:rsidR="00567EFC" w:rsidRPr="00414FE7" w:rsidRDefault="00C74AEE" w:rsidP="00566B81">
                      <w:pPr>
                        <w:ind w:right="108"/>
                        <w:jc w:val="center"/>
                        <w:rPr>
                          <w:rFonts w:cs="Arial"/>
                          <w:sz w:val="16"/>
                          <w:szCs w:val="16"/>
                          <w:lang w:val="es-MX"/>
                        </w:rPr>
                      </w:pPr>
                      <w:r w:rsidRPr="00414FE7">
                        <w:rPr>
                          <w:rFonts w:cs="Arial"/>
                          <w:sz w:val="16"/>
                          <w:szCs w:val="16"/>
                          <w:lang w:val="es-MX"/>
                        </w:rPr>
                        <w:fldChar w:fldCharType="end"/>
                      </w:r>
                    </w:p>
                    <w:p w14:paraId="3F5F751B" w14:textId="77777777" w:rsidR="00566B81" w:rsidRPr="00414FE7" w:rsidRDefault="00566B81" w:rsidP="00566B81">
                      <w:pPr>
                        <w:ind w:right="-70"/>
                        <w:jc w:val="both"/>
                        <w:rPr>
                          <w:rFonts w:cs="Arial"/>
                          <w:b/>
                          <w:sz w:val="18"/>
                          <w:szCs w:val="18"/>
                        </w:rPr>
                      </w:pPr>
                    </w:p>
                    <w:p w14:paraId="4C1C6D8A" w14:textId="5745BF93" w:rsidR="00566B81" w:rsidRDefault="00566B81" w:rsidP="00566B81">
                      <w:pPr>
                        <w:ind w:right="-70"/>
                        <w:jc w:val="both"/>
                        <w:rPr>
                          <w:rFonts w:cs="Arial"/>
                          <w:sz w:val="12"/>
                          <w:szCs w:val="12"/>
                        </w:rPr>
                      </w:pPr>
                      <w:r w:rsidRPr="00414FE7">
                        <w:rPr>
                          <w:rFonts w:cs="Arial"/>
                          <w:sz w:val="12"/>
                          <w:szCs w:val="12"/>
                        </w:rPr>
                        <w:t xml:space="preserve">Fuente: INEE, cálculos con base en las Estadísticas </w:t>
                      </w:r>
                      <w:r w:rsidR="00FF6AF9" w:rsidRPr="00414FE7">
                        <w:rPr>
                          <w:rFonts w:cs="Arial"/>
                          <w:sz w:val="12"/>
                          <w:szCs w:val="12"/>
                        </w:rPr>
                        <w:t>C</w:t>
                      </w:r>
                      <w:r w:rsidRPr="00414FE7">
                        <w:rPr>
                          <w:rFonts w:cs="Arial"/>
                          <w:sz w:val="12"/>
                          <w:szCs w:val="12"/>
                        </w:rPr>
                        <w:t xml:space="preserve">ontinuas del </w:t>
                      </w:r>
                      <w:r w:rsidR="00FF6AF9" w:rsidRPr="00414FE7">
                        <w:rPr>
                          <w:rFonts w:cs="Arial"/>
                          <w:sz w:val="12"/>
                          <w:szCs w:val="12"/>
                        </w:rPr>
                        <w:t>F</w:t>
                      </w:r>
                      <w:r w:rsidRPr="00414FE7">
                        <w:rPr>
                          <w:rFonts w:cs="Arial"/>
                          <w:sz w:val="12"/>
                          <w:szCs w:val="12"/>
                        </w:rPr>
                        <w:t>ormato 911 (ciclo escolar 201</w:t>
                      </w:r>
                      <w:r w:rsidR="00840285" w:rsidRPr="00414FE7">
                        <w:rPr>
                          <w:rFonts w:cs="Arial"/>
                          <w:sz w:val="12"/>
                          <w:szCs w:val="12"/>
                        </w:rPr>
                        <w:t>7</w:t>
                      </w:r>
                      <w:r w:rsidR="002E5A4F" w:rsidRPr="00414FE7">
                        <w:rPr>
                          <w:rFonts w:cs="Arial"/>
                          <w:sz w:val="12"/>
                          <w:szCs w:val="12"/>
                        </w:rPr>
                        <w:t>-</w:t>
                      </w:r>
                      <w:r w:rsidRPr="00414FE7">
                        <w:rPr>
                          <w:rFonts w:cs="Arial"/>
                          <w:sz w:val="12"/>
                          <w:szCs w:val="12"/>
                        </w:rPr>
                        <w:t>201</w:t>
                      </w:r>
                      <w:r w:rsidR="00840285" w:rsidRPr="00414FE7">
                        <w:rPr>
                          <w:rFonts w:cs="Arial"/>
                          <w:sz w:val="12"/>
                          <w:szCs w:val="12"/>
                        </w:rPr>
                        <w:t>8</w:t>
                      </w:r>
                      <w:r w:rsidRPr="00414FE7">
                        <w:rPr>
                          <w:rFonts w:cs="Arial"/>
                          <w:sz w:val="12"/>
                          <w:szCs w:val="12"/>
                        </w:rPr>
                        <w:t>), SEP</w:t>
                      </w:r>
                      <w:r w:rsidR="00592196" w:rsidRPr="00414FE7">
                        <w:rPr>
                          <w:rFonts w:cs="Arial"/>
                          <w:sz w:val="12"/>
                          <w:szCs w:val="12"/>
                        </w:rPr>
                        <w:t>-</w:t>
                      </w:r>
                      <w:proofErr w:type="spellStart"/>
                      <w:r w:rsidR="00592196" w:rsidRPr="00414FE7">
                        <w:rPr>
                          <w:rFonts w:cs="Arial"/>
                          <w:sz w:val="12"/>
                          <w:szCs w:val="12"/>
                        </w:rPr>
                        <w:t>DGP</w:t>
                      </w:r>
                      <w:r w:rsidR="007915C6" w:rsidRPr="00414FE7">
                        <w:rPr>
                          <w:rFonts w:cs="Arial"/>
                          <w:sz w:val="12"/>
                          <w:szCs w:val="12"/>
                        </w:rPr>
                        <w:t>Py</w:t>
                      </w:r>
                      <w:r w:rsidR="00592196" w:rsidRPr="00414FE7">
                        <w:rPr>
                          <w:rFonts w:cs="Arial"/>
                          <w:sz w:val="12"/>
                          <w:szCs w:val="12"/>
                        </w:rPr>
                        <w:t>EE</w:t>
                      </w:r>
                      <w:proofErr w:type="spellEnd"/>
                      <w:r w:rsidRPr="00414FE7">
                        <w:rPr>
                          <w:rFonts w:cs="Arial"/>
                          <w:sz w:val="12"/>
                          <w:szCs w:val="12"/>
                        </w:rPr>
                        <w:t>.</w:t>
                      </w:r>
                    </w:p>
                  </w:txbxContent>
                </v:textbox>
              </v:roundrect>
            </w:pict>
          </mc:Fallback>
        </mc:AlternateContent>
      </w:r>
    </w:p>
    <w:p w14:paraId="1C865E97" w14:textId="77777777" w:rsidR="0003585A" w:rsidRDefault="0003585A"/>
    <w:p w14:paraId="69E793A8" w14:textId="77777777" w:rsidR="00566B81" w:rsidRDefault="00566B81"/>
    <w:sectPr w:rsidR="00566B81" w:rsidSect="00D74368">
      <w:footerReference w:type="default" r:id="rId16"/>
      <w:pgSz w:w="12240" w:h="15840" w:code="1"/>
      <w:pgMar w:top="719" w:right="1701" w:bottom="125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661DF" w14:textId="77777777" w:rsidR="00F70282" w:rsidRDefault="00F70282" w:rsidP="00761C49">
      <w:r>
        <w:separator/>
      </w:r>
    </w:p>
  </w:endnote>
  <w:endnote w:type="continuationSeparator" w:id="0">
    <w:p w14:paraId="63DF8FF7" w14:textId="77777777" w:rsidR="00F70282" w:rsidRDefault="00F70282" w:rsidP="0076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1464264"/>
      <w:docPartObj>
        <w:docPartGallery w:val="Page Numbers (Bottom of Page)"/>
        <w:docPartUnique/>
      </w:docPartObj>
    </w:sdtPr>
    <w:sdtEndPr/>
    <w:sdtContent>
      <w:p w14:paraId="0CCB68D8" w14:textId="070629E3" w:rsidR="00F30EFE" w:rsidRDefault="00F30EFE">
        <w:pPr>
          <w:pStyle w:val="Piedepgina"/>
          <w:jc w:val="right"/>
        </w:pPr>
        <w:r>
          <w:fldChar w:fldCharType="begin"/>
        </w:r>
        <w:r>
          <w:instrText>PAGE   \* MERGEFORMAT</w:instrText>
        </w:r>
        <w:r>
          <w:fldChar w:fldCharType="separate"/>
        </w:r>
        <w:r w:rsidR="00BF66F9">
          <w:rPr>
            <w:noProof/>
          </w:rPr>
          <w:t>2</w:t>
        </w:r>
        <w:r>
          <w:fldChar w:fldCharType="end"/>
        </w:r>
      </w:p>
    </w:sdtContent>
  </w:sdt>
  <w:p w14:paraId="576224B5" w14:textId="77777777" w:rsidR="00F30EFE" w:rsidRDefault="00F30E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E1060" w14:textId="77777777" w:rsidR="00F70282" w:rsidRDefault="00F70282" w:rsidP="00761C49">
      <w:r>
        <w:separator/>
      </w:r>
    </w:p>
  </w:footnote>
  <w:footnote w:type="continuationSeparator" w:id="0">
    <w:p w14:paraId="2E457B4D" w14:textId="77777777" w:rsidR="00F70282" w:rsidRDefault="00F70282" w:rsidP="00761C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E7F49"/>
    <w:multiLevelType w:val="hybridMultilevel"/>
    <w:tmpl w:val="C46C110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D39"/>
    <w:rsid w:val="00002539"/>
    <w:rsid w:val="000032B8"/>
    <w:rsid w:val="00003653"/>
    <w:rsid w:val="000062CF"/>
    <w:rsid w:val="00006B85"/>
    <w:rsid w:val="000106A7"/>
    <w:rsid w:val="00010CB7"/>
    <w:rsid w:val="00011664"/>
    <w:rsid w:val="000128F9"/>
    <w:rsid w:val="00013157"/>
    <w:rsid w:val="00014834"/>
    <w:rsid w:val="00014A4B"/>
    <w:rsid w:val="0001525E"/>
    <w:rsid w:val="0001580E"/>
    <w:rsid w:val="00016325"/>
    <w:rsid w:val="0001743C"/>
    <w:rsid w:val="000241AC"/>
    <w:rsid w:val="000247B7"/>
    <w:rsid w:val="00025162"/>
    <w:rsid w:val="00025B51"/>
    <w:rsid w:val="00026B64"/>
    <w:rsid w:val="000278A6"/>
    <w:rsid w:val="00031BF1"/>
    <w:rsid w:val="0003205A"/>
    <w:rsid w:val="00033957"/>
    <w:rsid w:val="00035341"/>
    <w:rsid w:val="00035532"/>
    <w:rsid w:val="0003585A"/>
    <w:rsid w:val="00037BA0"/>
    <w:rsid w:val="000407D7"/>
    <w:rsid w:val="0004162B"/>
    <w:rsid w:val="00041831"/>
    <w:rsid w:val="00041EE4"/>
    <w:rsid w:val="00043665"/>
    <w:rsid w:val="00043E9E"/>
    <w:rsid w:val="000443CD"/>
    <w:rsid w:val="000448C5"/>
    <w:rsid w:val="000449B5"/>
    <w:rsid w:val="00046E0D"/>
    <w:rsid w:val="000471A7"/>
    <w:rsid w:val="00053E7D"/>
    <w:rsid w:val="00054021"/>
    <w:rsid w:val="0005404E"/>
    <w:rsid w:val="00054B1B"/>
    <w:rsid w:val="000553DC"/>
    <w:rsid w:val="000555A2"/>
    <w:rsid w:val="00055F7A"/>
    <w:rsid w:val="000563F9"/>
    <w:rsid w:val="00056FA0"/>
    <w:rsid w:val="0005727F"/>
    <w:rsid w:val="00057FA3"/>
    <w:rsid w:val="00060238"/>
    <w:rsid w:val="00061389"/>
    <w:rsid w:val="00061CD0"/>
    <w:rsid w:val="00062D60"/>
    <w:rsid w:val="0006341C"/>
    <w:rsid w:val="00063ECC"/>
    <w:rsid w:val="0007293A"/>
    <w:rsid w:val="0007397F"/>
    <w:rsid w:val="0007436E"/>
    <w:rsid w:val="00074EC6"/>
    <w:rsid w:val="0007580C"/>
    <w:rsid w:val="00076DDA"/>
    <w:rsid w:val="0008143E"/>
    <w:rsid w:val="00081EDD"/>
    <w:rsid w:val="000840F9"/>
    <w:rsid w:val="00084182"/>
    <w:rsid w:val="000853BF"/>
    <w:rsid w:val="00086FA5"/>
    <w:rsid w:val="00087062"/>
    <w:rsid w:val="00091A6C"/>
    <w:rsid w:val="00091E75"/>
    <w:rsid w:val="00093C4D"/>
    <w:rsid w:val="00094976"/>
    <w:rsid w:val="000975E9"/>
    <w:rsid w:val="00097C20"/>
    <w:rsid w:val="000A1426"/>
    <w:rsid w:val="000A1B6E"/>
    <w:rsid w:val="000A3F67"/>
    <w:rsid w:val="000A481B"/>
    <w:rsid w:val="000A4E43"/>
    <w:rsid w:val="000A7ED0"/>
    <w:rsid w:val="000B1B2B"/>
    <w:rsid w:val="000B3D5E"/>
    <w:rsid w:val="000B439D"/>
    <w:rsid w:val="000B5141"/>
    <w:rsid w:val="000C02F6"/>
    <w:rsid w:val="000C0737"/>
    <w:rsid w:val="000C07FB"/>
    <w:rsid w:val="000C15F4"/>
    <w:rsid w:val="000C2882"/>
    <w:rsid w:val="000C30A8"/>
    <w:rsid w:val="000C3455"/>
    <w:rsid w:val="000C4DA4"/>
    <w:rsid w:val="000C555B"/>
    <w:rsid w:val="000C5E4B"/>
    <w:rsid w:val="000C6F50"/>
    <w:rsid w:val="000C7017"/>
    <w:rsid w:val="000D1C27"/>
    <w:rsid w:val="000D2F11"/>
    <w:rsid w:val="000D59F2"/>
    <w:rsid w:val="000D606C"/>
    <w:rsid w:val="000D6856"/>
    <w:rsid w:val="000D7DE1"/>
    <w:rsid w:val="000E0D2C"/>
    <w:rsid w:val="000E13CF"/>
    <w:rsid w:val="000E28B3"/>
    <w:rsid w:val="000E5563"/>
    <w:rsid w:val="000E5F8A"/>
    <w:rsid w:val="000E6941"/>
    <w:rsid w:val="000E796F"/>
    <w:rsid w:val="000E7DBE"/>
    <w:rsid w:val="000F0D6B"/>
    <w:rsid w:val="000F1A1B"/>
    <w:rsid w:val="000F20F7"/>
    <w:rsid w:val="000F2E8C"/>
    <w:rsid w:val="000F334A"/>
    <w:rsid w:val="000F4587"/>
    <w:rsid w:val="000F46B6"/>
    <w:rsid w:val="000F509D"/>
    <w:rsid w:val="000F535A"/>
    <w:rsid w:val="000F5A9C"/>
    <w:rsid w:val="000F669E"/>
    <w:rsid w:val="000F76F3"/>
    <w:rsid w:val="00100ADE"/>
    <w:rsid w:val="001021B7"/>
    <w:rsid w:val="00102207"/>
    <w:rsid w:val="001044E8"/>
    <w:rsid w:val="00104F0D"/>
    <w:rsid w:val="00105145"/>
    <w:rsid w:val="00107F2F"/>
    <w:rsid w:val="00110BE1"/>
    <w:rsid w:val="00110C59"/>
    <w:rsid w:val="0011108C"/>
    <w:rsid w:val="00111F57"/>
    <w:rsid w:val="00112BE0"/>
    <w:rsid w:val="0011302D"/>
    <w:rsid w:val="0011395B"/>
    <w:rsid w:val="00113CC5"/>
    <w:rsid w:val="0011417E"/>
    <w:rsid w:val="00114A96"/>
    <w:rsid w:val="00114BA4"/>
    <w:rsid w:val="00115180"/>
    <w:rsid w:val="00121EC0"/>
    <w:rsid w:val="00121F0C"/>
    <w:rsid w:val="001228AF"/>
    <w:rsid w:val="001232B5"/>
    <w:rsid w:val="001240D6"/>
    <w:rsid w:val="00124975"/>
    <w:rsid w:val="00127026"/>
    <w:rsid w:val="001275EE"/>
    <w:rsid w:val="0012773C"/>
    <w:rsid w:val="00131428"/>
    <w:rsid w:val="001349CF"/>
    <w:rsid w:val="00135016"/>
    <w:rsid w:val="0013528A"/>
    <w:rsid w:val="001358AA"/>
    <w:rsid w:val="00137337"/>
    <w:rsid w:val="00137476"/>
    <w:rsid w:val="00137EFA"/>
    <w:rsid w:val="001400BD"/>
    <w:rsid w:val="00141FF7"/>
    <w:rsid w:val="00145A98"/>
    <w:rsid w:val="00150211"/>
    <w:rsid w:val="001504B8"/>
    <w:rsid w:val="00150978"/>
    <w:rsid w:val="001510AA"/>
    <w:rsid w:val="00153D0B"/>
    <w:rsid w:val="00153F81"/>
    <w:rsid w:val="001556EA"/>
    <w:rsid w:val="00155C16"/>
    <w:rsid w:val="001579E9"/>
    <w:rsid w:val="00161D40"/>
    <w:rsid w:val="00163A59"/>
    <w:rsid w:val="00163DB0"/>
    <w:rsid w:val="0016466B"/>
    <w:rsid w:val="00165B9A"/>
    <w:rsid w:val="00165C29"/>
    <w:rsid w:val="00167CC4"/>
    <w:rsid w:val="001733A8"/>
    <w:rsid w:val="0017489A"/>
    <w:rsid w:val="0017654A"/>
    <w:rsid w:val="00176604"/>
    <w:rsid w:val="0017744E"/>
    <w:rsid w:val="00180BCA"/>
    <w:rsid w:val="00181428"/>
    <w:rsid w:val="001814CE"/>
    <w:rsid w:val="00181977"/>
    <w:rsid w:val="001844EF"/>
    <w:rsid w:val="00187CE1"/>
    <w:rsid w:val="00190233"/>
    <w:rsid w:val="00190E7C"/>
    <w:rsid w:val="0019123D"/>
    <w:rsid w:val="00191CC8"/>
    <w:rsid w:val="0019319A"/>
    <w:rsid w:val="00193678"/>
    <w:rsid w:val="0019424A"/>
    <w:rsid w:val="0019570C"/>
    <w:rsid w:val="0019604F"/>
    <w:rsid w:val="00197A4A"/>
    <w:rsid w:val="001A032B"/>
    <w:rsid w:val="001A1EF1"/>
    <w:rsid w:val="001A2713"/>
    <w:rsid w:val="001A52DD"/>
    <w:rsid w:val="001A590D"/>
    <w:rsid w:val="001A5F15"/>
    <w:rsid w:val="001A7219"/>
    <w:rsid w:val="001B0263"/>
    <w:rsid w:val="001B02DC"/>
    <w:rsid w:val="001B065F"/>
    <w:rsid w:val="001B1729"/>
    <w:rsid w:val="001B3DEB"/>
    <w:rsid w:val="001B4247"/>
    <w:rsid w:val="001B45CF"/>
    <w:rsid w:val="001B4E09"/>
    <w:rsid w:val="001B4F1B"/>
    <w:rsid w:val="001B653C"/>
    <w:rsid w:val="001B7E15"/>
    <w:rsid w:val="001C074B"/>
    <w:rsid w:val="001C1DCF"/>
    <w:rsid w:val="001C28B3"/>
    <w:rsid w:val="001C2936"/>
    <w:rsid w:val="001C2AE3"/>
    <w:rsid w:val="001C332D"/>
    <w:rsid w:val="001C39F1"/>
    <w:rsid w:val="001C68C9"/>
    <w:rsid w:val="001D08BE"/>
    <w:rsid w:val="001D0E89"/>
    <w:rsid w:val="001D2A56"/>
    <w:rsid w:val="001D3724"/>
    <w:rsid w:val="001D551F"/>
    <w:rsid w:val="001D785C"/>
    <w:rsid w:val="001E00C2"/>
    <w:rsid w:val="001E08CE"/>
    <w:rsid w:val="001E162B"/>
    <w:rsid w:val="001E25C2"/>
    <w:rsid w:val="001E47C1"/>
    <w:rsid w:val="001E7073"/>
    <w:rsid w:val="001F1B3C"/>
    <w:rsid w:val="001F2207"/>
    <w:rsid w:val="001F2F0E"/>
    <w:rsid w:val="001F5939"/>
    <w:rsid w:val="001F7DAA"/>
    <w:rsid w:val="0020063A"/>
    <w:rsid w:val="00200843"/>
    <w:rsid w:val="00203739"/>
    <w:rsid w:val="0020432F"/>
    <w:rsid w:val="00204830"/>
    <w:rsid w:val="00206755"/>
    <w:rsid w:val="00206FBA"/>
    <w:rsid w:val="00207DCA"/>
    <w:rsid w:val="0021062F"/>
    <w:rsid w:val="00214189"/>
    <w:rsid w:val="002141DB"/>
    <w:rsid w:val="002153A4"/>
    <w:rsid w:val="00215A20"/>
    <w:rsid w:val="00216233"/>
    <w:rsid w:val="00216A64"/>
    <w:rsid w:val="00217D06"/>
    <w:rsid w:val="00221950"/>
    <w:rsid w:val="00223E29"/>
    <w:rsid w:val="002246E8"/>
    <w:rsid w:val="00226E44"/>
    <w:rsid w:val="00227965"/>
    <w:rsid w:val="00230F0D"/>
    <w:rsid w:val="00231282"/>
    <w:rsid w:val="00234507"/>
    <w:rsid w:val="00235491"/>
    <w:rsid w:val="0023769D"/>
    <w:rsid w:val="002410D3"/>
    <w:rsid w:val="00245D7E"/>
    <w:rsid w:val="002464F1"/>
    <w:rsid w:val="00247175"/>
    <w:rsid w:val="0024772B"/>
    <w:rsid w:val="00247A98"/>
    <w:rsid w:val="00247DB5"/>
    <w:rsid w:val="00250527"/>
    <w:rsid w:val="00250580"/>
    <w:rsid w:val="002525D4"/>
    <w:rsid w:val="00252665"/>
    <w:rsid w:val="00252C6A"/>
    <w:rsid w:val="00254440"/>
    <w:rsid w:val="002545AB"/>
    <w:rsid w:val="00255439"/>
    <w:rsid w:val="0025607E"/>
    <w:rsid w:val="00257109"/>
    <w:rsid w:val="00260222"/>
    <w:rsid w:val="0026178E"/>
    <w:rsid w:val="00263936"/>
    <w:rsid w:val="0026703F"/>
    <w:rsid w:val="00267B6C"/>
    <w:rsid w:val="00272B3D"/>
    <w:rsid w:val="00273FC4"/>
    <w:rsid w:val="00276035"/>
    <w:rsid w:val="00276AF5"/>
    <w:rsid w:val="00276CA3"/>
    <w:rsid w:val="00277DCC"/>
    <w:rsid w:val="002806F5"/>
    <w:rsid w:val="00280BF0"/>
    <w:rsid w:val="00281B91"/>
    <w:rsid w:val="002833DE"/>
    <w:rsid w:val="00283B2E"/>
    <w:rsid w:val="00283F56"/>
    <w:rsid w:val="00285DF6"/>
    <w:rsid w:val="002900FB"/>
    <w:rsid w:val="002907A8"/>
    <w:rsid w:val="00293BBD"/>
    <w:rsid w:val="002970D2"/>
    <w:rsid w:val="002A41AA"/>
    <w:rsid w:val="002A4359"/>
    <w:rsid w:val="002A49DF"/>
    <w:rsid w:val="002A4D8E"/>
    <w:rsid w:val="002A4EF3"/>
    <w:rsid w:val="002A5757"/>
    <w:rsid w:val="002A5BED"/>
    <w:rsid w:val="002A67EB"/>
    <w:rsid w:val="002A70C5"/>
    <w:rsid w:val="002A7361"/>
    <w:rsid w:val="002B0343"/>
    <w:rsid w:val="002B0552"/>
    <w:rsid w:val="002B147A"/>
    <w:rsid w:val="002B3785"/>
    <w:rsid w:val="002B4EA3"/>
    <w:rsid w:val="002B6D6A"/>
    <w:rsid w:val="002C0668"/>
    <w:rsid w:val="002C355E"/>
    <w:rsid w:val="002C3B9B"/>
    <w:rsid w:val="002C4F06"/>
    <w:rsid w:val="002C6F18"/>
    <w:rsid w:val="002D0457"/>
    <w:rsid w:val="002D2F7B"/>
    <w:rsid w:val="002D30BC"/>
    <w:rsid w:val="002D3ACE"/>
    <w:rsid w:val="002D3AE7"/>
    <w:rsid w:val="002D56D3"/>
    <w:rsid w:val="002E005D"/>
    <w:rsid w:val="002E3E2A"/>
    <w:rsid w:val="002E40A2"/>
    <w:rsid w:val="002E5A4F"/>
    <w:rsid w:val="002E674F"/>
    <w:rsid w:val="002E6820"/>
    <w:rsid w:val="002E6E5E"/>
    <w:rsid w:val="002E79D1"/>
    <w:rsid w:val="002F0DC7"/>
    <w:rsid w:val="002F1608"/>
    <w:rsid w:val="002F1A97"/>
    <w:rsid w:val="002F3527"/>
    <w:rsid w:val="002F473A"/>
    <w:rsid w:val="002F766E"/>
    <w:rsid w:val="00300622"/>
    <w:rsid w:val="00300A0E"/>
    <w:rsid w:val="00300B31"/>
    <w:rsid w:val="00300FC1"/>
    <w:rsid w:val="00301162"/>
    <w:rsid w:val="00303D29"/>
    <w:rsid w:val="003049DB"/>
    <w:rsid w:val="00304B8A"/>
    <w:rsid w:val="0030581C"/>
    <w:rsid w:val="003078B6"/>
    <w:rsid w:val="00307D8F"/>
    <w:rsid w:val="00310967"/>
    <w:rsid w:val="00310B0D"/>
    <w:rsid w:val="00310E0A"/>
    <w:rsid w:val="00311A1A"/>
    <w:rsid w:val="00316667"/>
    <w:rsid w:val="00317312"/>
    <w:rsid w:val="003178CA"/>
    <w:rsid w:val="00323573"/>
    <w:rsid w:val="00323FFF"/>
    <w:rsid w:val="003247EA"/>
    <w:rsid w:val="00327A79"/>
    <w:rsid w:val="00327B29"/>
    <w:rsid w:val="00331DBA"/>
    <w:rsid w:val="00332243"/>
    <w:rsid w:val="00332BE9"/>
    <w:rsid w:val="00333F3A"/>
    <w:rsid w:val="00335CA7"/>
    <w:rsid w:val="00336075"/>
    <w:rsid w:val="0033741E"/>
    <w:rsid w:val="00337519"/>
    <w:rsid w:val="00340E4E"/>
    <w:rsid w:val="00342958"/>
    <w:rsid w:val="0034324E"/>
    <w:rsid w:val="00343DF9"/>
    <w:rsid w:val="00344632"/>
    <w:rsid w:val="0034731B"/>
    <w:rsid w:val="00351038"/>
    <w:rsid w:val="0035148C"/>
    <w:rsid w:val="0035265C"/>
    <w:rsid w:val="003526E5"/>
    <w:rsid w:val="00352F15"/>
    <w:rsid w:val="0035308E"/>
    <w:rsid w:val="00353D1E"/>
    <w:rsid w:val="00354756"/>
    <w:rsid w:val="00354D42"/>
    <w:rsid w:val="00356009"/>
    <w:rsid w:val="00357D30"/>
    <w:rsid w:val="00361544"/>
    <w:rsid w:val="003615D6"/>
    <w:rsid w:val="00361F26"/>
    <w:rsid w:val="003627FB"/>
    <w:rsid w:val="003635A0"/>
    <w:rsid w:val="0036379C"/>
    <w:rsid w:val="00363FF9"/>
    <w:rsid w:val="00364A37"/>
    <w:rsid w:val="003659FC"/>
    <w:rsid w:val="00366470"/>
    <w:rsid w:val="0036696C"/>
    <w:rsid w:val="00367DE3"/>
    <w:rsid w:val="00370FB0"/>
    <w:rsid w:val="0037155A"/>
    <w:rsid w:val="00372273"/>
    <w:rsid w:val="00373E6E"/>
    <w:rsid w:val="00373FEE"/>
    <w:rsid w:val="003746D0"/>
    <w:rsid w:val="0037510D"/>
    <w:rsid w:val="00376229"/>
    <w:rsid w:val="003762E9"/>
    <w:rsid w:val="00377087"/>
    <w:rsid w:val="0037725C"/>
    <w:rsid w:val="00380515"/>
    <w:rsid w:val="00381B9F"/>
    <w:rsid w:val="00383384"/>
    <w:rsid w:val="00383F4B"/>
    <w:rsid w:val="00390E3E"/>
    <w:rsid w:val="003913DC"/>
    <w:rsid w:val="00391817"/>
    <w:rsid w:val="00392CEA"/>
    <w:rsid w:val="003934D7"/>
    <w:rsid w:val="00396744"/>
    <w:rsid w:val="00396986"/>
    <w:rsid w:val="003975FF"/>
    <w:rsid w:val="003979F5"/>
    <w:rsid w:val="003A0577"/>
    <w:rsid w:val="003A4579"/>
    <w:rsid w:val="003A4DBC"/>
    <w:rsid w:val="003A507A"/>
    <w:rsid w:val="003A6909"/>
    <w:rsid w:val="003A7343"/>
    <w:rsid w:val="003B0912"/>
    <w:rsid w:val="003B135B"/>
    <w:rsid w:val="003B182B"/>
    <w:rsid w:val="003B18DF"/>
    <w:rsid w:val="003B249E"/>
    <w:rsid w:val="003B297E"/>
    <w:rsid w:val="003B4079"/>
    <w:rsid w:val="003B525A"/>
    <w:rsid w:val="003B7496"/>
    <w:rsid w:val="003C15F7"/>
    <w:rsid w:val="003C2ABC"/>
    <w:rsid w:val="003C2B9B"/>
    <w:rsid w:val="003C765B"/>
    <w:rsid w:val="003C7FAE"/>
    <w:rsid w:val="003D0456"/>
    <w:rsid w:val="003D0EDB"/>
    <w:rsid w:val="003D3674"/>
    <w:rsid w:val="003D3A0B"/>
    <w:rsid w:val="003D3FA0"/>
    <w:rsid w:val="003D4AE1"/>
    <w:rsid w:val="003D4F86"/>
    <w:rsid w:val="003D6757"/>
    <w:rsid w:val="003D6E43"/>
    <w:rsid w:val="003D7F3F"/>
    <w:rsid w:val="003E016B"/>
    <w:rsid w:val="003E0293"/>
    <w:rsid w:val="003E09F2"/>
    <w:rsid w:val="003E2F1F"/>
    <w:rsid w:val="003E5631"/>
    <w:rsid w:val="003E5DE7"/>
    <w:rsid w:val="003E6FFD"/>
    <w:rsid w:val="003E79DF"/>
    <w:rsid w:val="003E7D64"/>
    <w:rsid w:val="003F1051"/>
    <w:rsid w:val="003F2EF2"/>
    <w:rsid w:val="003F5E8D"/>
    <w:rsid w:val="003F6A6B"/>
    <w:rsid w:val="00400635"/>
    <w:rsid w:val="00400675"/>
    <w:rsid w:val="00402299"/>
    <w:rsid w:val="0040447E"/>
    <w:rsid w:val="0040645C"/>
    <w:rsid w:val="004069BB"/>
    <w:rsid w:val="0040799D"/>
    <w:rsid w:val="004104E8"/>
    <w:rsid w:val="00414C8A"/>
    <w:rsid w:val="00414FE7"/>
    <w:rsid w:val="0041590B"/>
    <w:rsid w:val="0041604A"/>
    <w:rsid w:val="004161B0"/>
    <w:rsid w:val="0041657B"/>
    <w:rsid w:val="00417D64"/>
    <w:rsid w:val="004200CF"/>
    <w:rsid w:val="004223C9"/>
    <w:rsid w:val="004240C8"/>
    <w:rsid w:val="00425CAF"/>
    <w:rsid w:val="00426421"/>
    <w:rsid w:val="004272D4"/>
    <w:rsid w:val="00427E34"/>
    <w:rsid w:val="0043251E"/>
    <w:rsid w:val="00432D3C"/>
    <w:rsid w:val="00436183"/>
    <w:rsid w:val="004403DB"/>
    <w:rsid w:val="00441D37"/>
    <w:rsid w:val="00442768"/>
    <w:rsid w:val="004429BB"/>
    <w:rsid w:val="00442E4C"/>
    <w:rsid w:val="00443792"/>
    <w:rsid w:val="004454FA"/>
    <w:rsid w:val="00445535"/>
    <w:rsid w:val="004465B4"/>
    <w:rsid w:val="00447BE8"/>
    <w:rsid w:val="00450122"/>
    <w:rsid w:val="00451006"/>
    <w:rsid w:val="00452647"/>
    <w:rsid w:val="0045289C"/>
    <w:rsid w:val="00453A17"/>
    <w:rsid w:val="00454BA2"/>
    <w:rsid w:val="00456A86"/>
    <w:rsid w:val="004571FD"/>
    <w:rsid w:val="00457749"/>
    <w:rsid w:val="00457767"/>
    <w:rsid w:val="00462833"/>
    <w:rsid w:val="00462FA9"/>
    <w:rsid w:val="0046387A"/>
    <w:rsid w:val="00463E7D"/>
    <w:rsid w:val="00464CF5"/>
    <w:rsid w:val="0046550C"/>
    <w:rsid w:val="0046612B"/>
    <w:rsid w:val="00466A28"/>
    <w:rsid w:val="00466FAD"/>
    <w:rsid w:val="00467917"/>
    <w:rsid w:val="00467E90"/>
    <w:rsid w:val="0047073E"/>
    <w:rsid w:val="0047297B"/>
    <w:rsid w:val="00472A28"/>
    <w:rsid w:val="004747E1"/>
    <w:rsid w:val="004753B3"/>
    <w:rsid w:val="00481904"/>
    <w:rsid w:val="00482A32"/>
    <w:rsid w:val="00482ABB"/>
    <w:rsid w:val="00482D33"/>
    <w:rsid w:val="0048390D"/>
    <w:rsid w:val="00483BB0"/>
    <w:rsid w:val="004841CC"/>
    <w:rsid w:val="004846FC"/>
    <w:rsid w:val="00484717"/>
    <w:rsid w:val="00484DB0"/>
    <w:rsid w:val="00485C33"/>
    <w:rsid w:val="00486762"/>
    <w:rsid w:val="00491086"/>
    <w:rsid w:val="0049174F"/>
    <w:rsid w:val="004919E6"/>
    <w:rsid w:val="004929D4"/>
    <w:rsid w:val="00493E55"/>
    <w:rsid w:val="004946C7"/>
    <w:rsid w:val="00494AA8"/>
    <w:rsid w:val="00495F46"/>
    <w:rsid w:val="00495F8E"/>
    <w:rsid w:val="004A0499"/>
    <w:rsid w:val="004A10B1"/>
    <w:rsid w:val="004A3340"/>
    <w:rsid w:val="004A3AD6"/>
    <w:rsid w:val="004A4FAE"/>
    <w:rsid w:val="004A6616"/>
    <w:rsid w:val="004A6DF0"/>
    <w:rsid w:val="004A790E"/>
    <w:rsid w:val="004B0ACA"/>
    <w:rsid w:val="004B0FF6"/>
    <w:rsid w:val="004B297E"/>
    <w:rsid w:val="004B2D73"/>
    <w:rsid w:val="004B3057"/>
    <w:rsid w:val="004B6DBC"/>
    <w:rsid w:val="004B7554"/>
    <w:rsid w:val="004B7585"/>
    <w:rsid w:val="004C03D9"/>
    <w:rsid w:val="004C120B"/>
    <w:rsid w:val="004C2C14"/>
    <w:rsid w:val="004C3455"/>
    <w:rsid w:val="004C4B0C"/>
    <w:rsid w:val="004C50C4"/>
    <w:rsid w:val="004C53D6"/>
    <w:rsid w:val="004C5F4B"/>
    <w:rsid w:val="004C7FA5"/>
    <w:rsid w:val="004D0031"/>
    <w:rsid w:val="004D072C"/>
    <w:rsid w:val="004D0AC1"/>
    <w:rsid w:val="004D0C86"/>
    <w:rsid w:val="004D1E89"/>
    <w:rsid w:val="004D22A9"/>
    <w:rsid w:val="004D239C"/>
    <w:rsid w:val="004D3CCC"/>
    <w:rsid w:val="004D3F14"/>
    <w:rsid w:val="004D474F"/>
    <w:rsid w:val="004D54D4"/>
    <w:rsid w:val="004D5D7D"/>
    <w:rsid w:val="004D6515"/>
    <w:rsid w:val="004E18FD"/>
    <w:rsid w:val="004E2866"/>
    <w:rsid w:val="004E3395"/>
    <w:rsid w:val="004E3F0C"/>
    <w:rsid w:val="004E4E1D"/>
    <w:rsid w:val="004E4F01"/>
    <w:rsid w:val="004E63B1"/>
    <w:rsid w:val="004E6E5C"/>
    <w:rsid w:val="004F1E47"/>
    <w:rsid w:val="004F1F8B"/>
    <w:rsid w:val="004F211C"/>
    <w:rsid w:val="004F36DD"/>
    <w:rsid w:val="004F46E0"/>
    <w:rsid w:val="004F48F4"/>
    <w:rsid w:val="004F5C95"/>
    <w:rsid w:val="004F7D87"/>
    <w:rsid w:val="00501935"/>
    <w:rsid w:val="00501C1F"/>
    <w:rsid w:val="005038DC"/>
    <w:rsid w:val="00507037"/>
    <w:rsid w:val="005079A0"/>
    <w:rsid w:val="00510189"/>
    <w:rsid w:val="00511B0B"/>
    <w:rsid w:val="00511CB3"/>
    <w:rsid w:val="005130E3"/>
    <w:rsid w:val="005130FE"/>
    <w:rsid w:val="0051391E"/>
    <w:rsid w:val="00514679"/>
    <w:rsid w:val="005147C6"/>
    <w:rsid w:val="00514ABC"/>
    <w:rsid w:val="00515836"/>
    <w:rsid w:val="00515C8E"/>
    <w:rsid w:val="005170AD"/>
    <w:rsid w:val="005179C0"/>
    <w:rsid w:val="00517AD6"/>
    <w:rsid w:val="00520AD1"/>
    <w:rsid w:val="0052204E"/>
    <w:rsid w:val="005224A1"/>
    <w:rsid w:val="00524C05"/>
    <w:rsid w:val="005258FE"/>
    <w:rsid w:val="005265C9"/>
    <w:rsid w:val="00526A0A"/>
    <w:rsid w:val="00526C0A"/>
    <w:rsid w:val="00527559"/>
    <w:rsid w:val="00527BC8"/>
    <w:rsid w:val="00527D96"/>
    <w:rsid w:val="00530057"/>
    <w:rsid w:val="00530A3C"/>
    <w:rsid w:val="00530D0D"/>
    <w:rsid w:val="00531F67"/>
    <w:rsid w:val="0053234C"/>
    <w:rsid w:val="0053664E"/>
    <w:rsid w:val="005368AA"/>
    <w:rsid w:val="005373A4"/>
    <w:rsid w:val="005403C4"/>
    <w:rsid w:val="0054206A"/>
    <w:rsid w:val="00542EEF"/>
    <w:rsid w:val="005433BD"/>
    <w:rsid w:val="005434D0"/>
    <w:rsid w:val="0054404C"/>
    <w:rsid w:val="0054492D"/>
    <w:rsid w:val="005449C3"/>
    <w:rsid w:val="005457CD"/>
    <w:rsid w:val="005457E0"/>
    <w:rsid w:val="00546007"/>
    <w:rsid w:val="00547910"/>
    <w:rsid w:val="00557D36"/>
    <w:rsid w:val="00560465"/>
    <w:rsid w:val="00561327"/>
    <w:rsid w:val="005627C1"/>
    <w:rsid w:val="005641B0"/>
    <w:rsid w:val="00565597"/>
    <w:rsid w:val="00566B81"/>
    <w:rsid w:val="00567EFC"/>
    <w:rsid w:val="005701B2"/>
    <w:rsid w:val="00570548"/>
    <w:rsid w:val="00570DEA"/>
    <w:rsid w:val="00571B9B"/>
    <w:rsid w:val="00571E30"/>
    <w:rsid w:val="00572234"/>
    <w:rsid w:val="00573518"/>
    <w:rsid w:val="005742DE"/>
    <w:rsid w:val="005769FE"/>
    <w:rsid w:val="00576FCC"/>
    <w:rsid w:val="0057707D"/>
    <w:rsid w:val="005771DE"/>
    <w:rsid w:val="00577EA1"/>
    <w:rsid w:val="0058145D"/>
    <w:rsid w:val="00582827"/>
    <w:rsid w:val="00583136"/>
    <w:rsid w:val="00583B2F"/>
    <w:rsid w:val="00584479"/>
    <w:rsid w:val="00586869"/>
    <w:rsid w:val="00586FE3"/>
    <w:rsid w:val="00587D47"/>
    <w:rsid w:val="00587F2D"/>
    <w:rsid w:val="005907DE"/>
    <w:rsid w:val="00590F8D"/>
    <w:rsid w:val="00592196"/>
    <w:rsid w:val="0059275E"/>
    <w:rsid w:val="005944E8"/>
    <w:rsid w:val="00594CBC"/>
    <w:rsid w:val="00596ED0"/>
    <w:rsid w:val="00597F15"/>
    <w:rsid w:val="005A0968"/>
    <w:rsid w:val="005A2781"/>
    <w:rsid w:val="005A36D1"/>
    <w:rsid w:val="005A483D"/>
    <w:rsid w:val="005A4D3D"/>
    <w:rsid w:val="005A6091"/>
    <w:rsid w:val="005A6788"/>
    <w:rsid w:val="005B31FF"/>
    <w:rsid w:val="005B35D1"/>
    <w:rsid w:val="005B381A"/>
    <w:rsid w:val="005B4A60"/>
    <w:rsid w:val="005B4D5C"/>
    <w:rsid w:val="005B523C"/>
    <w:rsid w:val="005B52A3"/>
    <w:rsid w:val="005B6467"/>
    <w:rsid w:val="005B677B"/>
    <w:rsid w:val="005B736E"/>
    <w:rsid w:val="005B7BCF"/>
    <w:rsid w:val="005C163A"/>
    <w:rsid w:val="005C324A"/>
    <w:rsid w:val="005C33E1"/>
    <w:rsid w:val="005C4B83"/>
    <w:rsid w:val="005C4BF1"/>
    <w:rsid w:val="005C5D33"/>
    <w:rsid w:val="005C62C8"/>
    <w:rsid w:val="005C6C22"/>
    <w:rsid w:val="005C6C76"/>
    <w:rsid w:val="005D0982"/>
    <w:rsid w:val="005D3685"/>
    <w:rsid w:val="005D3E64"/>
    <w:rsid w:val="005D4946"/>
    <w:rsid w:val="005D4C21"/>
    <w:rsid w:val="005D5F17"/>
    <w:rsid w:val="005D6A7E"/>
    <w:rsid w:val="005E2B06"/>
    <w:rsid w:val="005E379F"/>
    <w:rsid w:val="005E3916"/>
    <w:rsid w:val="005E4CCE"/>
    <w:rsid w:val="005E4DDF"/>
    <w:rsid w:val="005E67B6"/>
    <w:rsid w:val="005F1EF6"/>
    <w:rsid w:val="005F4892"/>
    <w:rsid w:val="005F531A"/>
    <w:rsid w:val="005F65F7"/>
    <w:rsid w:val="005F6FC4"/>
    <w:rsid w:val="00601920"/>
    <w:rsid w:val="00601FEB"/>
    <w:rsid w:val="00603129"/>
    <w:rsid w:val="00603389"/>
    <w:rsid w:val="00603816"/>
    <w:rsid w:val="00603884"/>
    <w:rsid w:val="00603DAE"/>
    <w:rsid w:val="006057D5"/>
    <w:rsid w:val="006068B7"/>
    <w:rsid w:val="00606D32"/>
    <w:rsid w:val="00607D7C"/>
    <w:rsid w:val="006106E6"/>
    <w:rsid w:val="00610893"/>
    <w:rsid w:val="00610B31"/>
    <w:rsid w:val="00610E96"/>
    <w:rsid w:val="0061114A"/>
    <w:rsid w:val="00614699"/>
    <w:rsid w:val="0061678A"/>
    <w:rsid w:val="00617E06"/>
    <w:rsid w:val="006203EF"/>
    <w:rsid w:val="006206B7"/>
    <w:rsid w:val="006207D2"/>
    <w:rsid w:val="0062082A"/>
    <w:rsid w:val="00621BFD"/>
    <w:rsid w:val="00622166"/>
    <w:rsid w:val="00622B42"/>
    <w:rsid w:val="00622BD1"/>
    <w:rsid w:val="00623EE4"/>
    <w:rsid w:val="006267FC"/>
    <w:rsid w:val="00627F73"/>
    <w:rsid w:val="00630B6B"/>
    <w:rsid w:val="006314B6"/>
    <w:rsid w:val="00631F1A"/>
    <w:rsid w:val="0063297F"/>
    <w:rsid w:val="006346CC"/>
    <w:rsid w:val="00635DA2"/>
    <w:rsid w:val="006369FD"/>
    <w:rsid w:val="0063703B"/>
    <w:rsid w:val="006402E3"/>
    <w:rsid w:val="00640626"/>
    <w:rsid w:val="0064063B"/>
    <w:rsid w:val="00642943"/>
    <w:rsid w:val="0064351E"/>
    <w:rsid w:val="00644CBC"/>
    <w:rsid w:val="006452E4"/>
    <w:rsid w:val="00647197"/>
    <w:rsid w:val="00647E9D"/>
    <w:rsid w:val="00651522"/>
    <w:rsid w:val="00652F36"/>
    <w:rsid w:val="006530B8"/>
    <w:rsid w:val="006538FB"/>
    <w:rsid w:val="00653D57"/>
    <w:rsid w:val="0065480C"/>
    <w:rsid w:val="00657803"/>
    <w:rsid w:val="006615B5"/>
    <w:rsid w:val="006628DA"/>
    <w:rsid w:val="00662ECF"/>
    <w:rsid w:val="006639DE"/>
    <w:rsid w:val="00663DC0"/>
    <w:rsid w:val="0066451E"/>
    <w:rsid w:val="00664C9A"/>
    <w:rsid w:val="00665B97"/>
    <w:rsid w:val="00670903"/>
    <w:rsid w:val="00670926"/>
    <w:rsid w:val="0067121D"/>
    <w:rsid w:val="0067246C"/>
    <w:rsid w:val="006730E9"/>
    <w:rsid w:val="0067353F"/>
    <w:rsid w:val="0067361B"/>
    <w:rsid w:val="0067362A"/>
    <w:rsid w:val="00673F9B"/>
    <w:rsid w:val="006747BB"/>
    <w:rsid w:val="00674886"/>
    <w:rsid w:val="00675900"/>
    <w:rsid w:val="006760A4"/>
    <w:rsid w:val="00676424"/>
    <w:rsid w:val="00677414"/>
    <w:rsid w:val="006775E9"/>
    <w:rsid w:val="0067777F"/>
    <w:rsid w:val="00680761"/>
    <w:rsid w:val="00680809"/>
    <w:rsid w:val="0068181E"/>
    <w:rsid w:val="0068242E"/>
    <w:rsid w:val="00683CCA"/>
    <w:rsid w:val="00684A85"/>
    <w:rsid w:val="006872E0"/>
    <w:rsid w:val="00692617"/>
    <w:rsid w:val="00693104"/>
    <w:rsid w:val="0069313C"/>
    <w:rsid w:val="00693751"/>
    <w:rsid w:val="00697465"/>
    <w:rsid w:val="006A0B82"/>
    <w:rsid w:val="006A12DD"/>
    <w:rsid w:val="006A1DEA"/>
    <w:rsid w:val="006A3D8F"/>
    <w:rsid w:val="006A523F"/>
    <w:rsid w:val="006A5275"/>
    <w:rsid w:val="006A6796"/>
    <w:rsid w:val="006B04B1"/>
    <w:rsid w:val="006B1128"/>
    <w:rsid w:val="006B36F5"/>
    <w:rsid w:val="006B4524"/>
    <w:rsid w:val="006B503F"/>
    <w:rsid w:val="006B507A"/>
    <w:rsid w:val="006B5338"/>
    <w:rsid w:val="006B6089"/>
    <w:rsid w:val="006C006F"/>
    <w:rsid w:val="006C0174"/>
    <w:rsid w:val="006C0261"/>
    <w:rsid w:val="006C1EED"/>
    <w:rsid w:val="006C2A84"/>
    <w:rsid w:val="006C3569"/>
    <w:rsid w:val="006C4DFF"/>
    <w:rsid w:val="006D017D"/>
    <w:rsid w:val="006D04D0"/>
    <w:rsid w:val="006D0CEC"/>
    <w:rsid w:val="006D1387"/>
    <w:rsid w:val="006D27F6"/>
    <w:rsid w:val="006D35AA"/>
    <w:rsid w:val="006D50B5"/>
    <w:rsid w:val="006D5623"/>
    <w:rsid w:val="006D5F1F"/>
    <w:rsid w:val="006D6B90"/>
    <w:rsid w:val="006D7B0F"/>
    <w:rsid w:val="006D7C2C"/>
    <w:rsid w:val="006E0655"/>
    <w:rsid w:val="006E321D"/>
    <w:rsid w:val="006E5498"/>
    <w:rsid w:val="006E6C64"/>
    <w:rsid w:val="006F1448"/>
    <w:rsid w:val="006F3943"/>
    <w:rsid w:val="006F44E8"/>
    <w:rsid w:val="006F4B89"/>
    <w:rsid w:val="006F72FB"/>
    <w:rsid w:val="00701FA0"/>
    <w:rsid w:val="00704707"/>
    <w:rsid w:val="00706B7C"/>
    <w:rsid w:val="0071014A"/>
    <w:rsid w:val="00710CB5"/>
    <w:rsid w:val="007126A9"/>
    <w:rsid w:val="00713098"/>
    <w:rsid w:val="00714428"/>
    <w:rsid w:val="00714608"/>
    <w:rsid w:val="007149AD"/>
    <w:rsid w:val="007152A7"/>
    <w:rsid w:val="0071541B"/>
    <w:rsid w:val="00715AAD"/>
    <w:rsid w:val="007161E9"/>
    <w:rsid w:val="0071723F"/>
    <w:rsid w:val="00717B2A"/>
    <w:rsid w:val="00720887"/>
    <w:rsid w:val="00720F5D"/>
    <w:rsid w:val="00721857"/>
    <w:rsid w:val="00724637"/>
    <w:rsid w:val="0072565E"/>
    <w:rsid w:val="00726D42"/>
    <w:rsid w:val="00727D2F"/>
    <w:rsid w:val="0073058A"/>
    <w:rsid w:val="007314C4"/>
    <w:rsid w:val="007328FE"/>
    <w:rsid w:val="00732CBE"/>
    <w:rsid w:val="00732E0A"/>
    <w:rsid w:val="0073410C"/>
    <w:rsid w:val="007354DC"/>
    <w:rsid w:val="00736151"/>
    <w:rsid w:val="00737767"/>
    <w:rsid w:val="00740B0C"/>
    <w:rsid w:val="007419FA"/>
    <w:rsid w:val="007422CF"/>
    <w:rsid w:val="00743ED6"/>
    <w:rsid w:val="00743FC3"/>
    <w:rsid w:val="0074539E"/>
    <w:rsid w:val="007460C5"/>
    <w:rsid w:val="007462BC"/>
    <w:rsid w:val="00747D6C"/>
    <w:rsid w:val="00753549"/>
    <w:rsid w:val="0075388A"/>
    <w:rsid w:val="00753B16"/>
    <w:rsid w:val="00754E11"/>
    <w:rsid w:val="00755DE1"/>
    <w:rsid w:val="0075677C"/>
    <w:rsid w:val="007568FB"/>
    <w:rsid w:val="00757A49"/>
    <w:rsid w:val="00761C49"/>
    <w:rsid w:val="00762F7A"/>
    <w:rsid w:val="00765708"/>
    <w:rsid w:val="0076665D"/>
    <w:rsid w:val="0076688B"/>
    <w:rsid w:val="00773ECF"/>
    <w:rsid w:val="00775860"/>
    <w:rsid w:val="00775FFD"/>
    <w:rsid w:val="00776140"/>
    <w:rsid w:val="0077698B"/>
    <w:rsid w:val="007773C2"/>
    <w:rsid w:val="007773D5"/>
    <w:rsid w:val="007774FE"/>
    <w:rsid w:val="00777A0B"/>
    <w:rsid w:val="00777BBF"/>
    <w:rsid w:val="00780420"/>
    <w:rsid w:val="00784F19"/>
    <w:rsid w:val="007866E6"/>
    <w:rsid w:val="0078794E"/>
    <w:rsid w:val="007879A2"/>
    <w:rsid w:val="0079035A"/>
    <w:rsid w:val="007912D7"/>
    <w:rsid w:val="007915C6"/>
    <w:rsid w:val="00793285"/>
    <w:rsid w:val="00794184"/>
    <w:rsid w:val="00794DFF"/>
    <w:rsid w:val="0079549F"/>
    <w:rsid w:val="00796444"/>
    <w:rsid w:val="00796781"/>
    <w:rsid w:val="00796C07"/>
    <w:rsid w:val="00797A20"/>
    <w:rsid w:val="007A14CE"/>
    <w:rsid w:val="007A45B7"/>
    <w:rsid w:val="007A5151"/>
    <w:rsid w:val="007A692E"/>
    <w:rsid w:val="007A7046"/>
    <w:rsid w:val="007A7392"/>
    <w:rsid w:val="007B066D"/>
    <w:rsid w:val="007B162E"/>
    <w:rsid w:val="007B2DD7"/>
    <w:rsid w:val="007B2E16"/>
    <w:rsid w:val="007B3A0F"/>
    <w:rsid w:val="007B6E1D"/>
    <w:rsid w:val="007C00C0"/>
    <w:rsid w:val="007C0A31"/>
    <w:rsid w:val="007C2F52"/>
    <w:rsid w:val="007C36F6"/>
    <w:rsid w:val="007C643E"/>
    <w:rsid w:val="007C68A0"/>
    <w:rsid w:val="007C6FB9"/>
    <w:rsid w:val="007C6FCC"/>
    <w:rsid w:val="007C73F1"/>
    <w:rsid w:val="007D2E4C"/>
    <w:rsid w:val="007D3D59"/>
    <w:rsid w:val="007D60C1"/>
    <w:rsid w:val="007D7D98"/>
    <w:rsid w:val="007E01A1"/>
    <w:rsid w:val="007E0579"/>
    <w:rsid w:val="007E0C80"/>
    <w:rsid w:val="007E3FB8"/>
    <w:rsid w:val="007E46A4"/>
    <w:rsid w:val="007E4BD3"/>
    <w:rsid w:val="007E5079"/>
    <w:rsid w:val="007E7B33"/>
    <w:rsid w:val="007F1460"/>
    <w:rsid w:val="007F1E60"/>
    <w:rsid w:val="007F274B"/>
    <w:rsid w:val="007F317E"/>
    <w:rsid w:val="007F377C"/>
    <w:rsid w:val="007F388F"/>
    <w:rsid w:val="007F3F1D"/>
    <w:rsid w:val="007F4101"/>
    <w:rsid w:val="007F51DC"/>
    <w:rsid w:val="007F78B6"/>
    <w:rsid w:val="007F7AE5"/>
    <w:rsid w:val="007F7E91"/>
    <w:rsid w:val="008003DB"/>
    <w:rsid w:val="008005CC"/>
    <w:rsid w:val="00801627"/>
    <w:rsid w:val="00802012"/>
    <w:rsid w:val="008021B7"/>
    <w:rsid w:val="008024A5"/>
    <w:rsid w:val="00803E23"/>
    <w:rsid w:val="00805924"/>
    <w:rsid w:val="00805D55"/>
    <w:rsid w:val="008067B5"/>
    <w:rsid w:val="00806F9D"/>
    <w:rsid w:val="00807BF6"/>
    <w:rsid w:val="00811C5C"/>
    <w:rsid w:val="00811C9C"/>
    <w:rsid w:val="00812734"/>
    <w:rsid w:val="00813126"/>
    <w:rsid w:val="0082033E"/>
    <w:rsid w:val="00821240"/>
    <w:rsid w:val="008230EF"/>
    <w:rsid w:val="0082385A"/>
    <w:rsid w:val="00825B7D"/>
    <w:rsid w:val="008261B1"/>
    <w:rsid w:val="008265D8"/>
    <w:rsid w:val="008317CB"/>
    <w:rsid w:val="00832373"/>
    <w:rsid w:val="00833868"/>
    <w:rsid w:val="0083566E"/>
    <w:rsid w:val="00837C18"/>
    <w:rsid w:val="00840285"/>
    <w:rsid w:val="008424BE"/>
    <w:rsid w:val="008433B1"/>
    <w:rsid w:val="008433BC"/>
    <w:rsid w:val="00843BE3"/>
    <w:rsid w:val="00843EF5"/>
    <w:rsid w:val="00846255"/>
    <w:rsid w:val="008463C6"/>
    <w:rsid w:val="0084778B"/>
    <w:rsid w:val="00847B8A"/>
    <w:rsid w:val="00850E8C"/>
    <w:rsid w:val="00851882"/>
    <w:rsid w:val="008560D2"/>
    <w:rsid w:val="00856B9E"/>
    <w:rsid w:val="008600E9"/>
    <w:rsid w:val="008604D1"/>
    <w:rsid w:val="00860613"/>
    <w:rsid w:val="00860777"/>
    <w:rsid w:val="00861F92"/>
    <w:rsid w:val="008631B4"/>
    <w:rsid w:val="00863D39"/>
    <w:rsid w:val="00863EEB"/>
    <w:rsid w:val="00864A5B"/>
    <w:rsid w:val="00865664"/>
    <w:rsid w:val="00865D90"/>
    <w:rsid w:val="00870B3D"/>
    <w:rsid w:val="0087373B"/>
    <w:rsid w:val="00873840"/>
    <w:rsid w:val="00873C02"/>
    <w:rsid w:val="00874496"/>
    <w:rsid w:val="008767F1"/>
    <w:rsid w:val="00877537"/>
    <w:rsid w:val="0087764E"/>
    <w:rsid w:val="00880002"/>
    <w:rsid w:val="00883433"/>
    <w:rsid w:val="008846D2"/>
    <w:rsid w:val="0088529B"/>
    <w:rsid w:val="00887F9F"/>
    <w:rsid w:val="008901A3"/>
    <w:rsid w:val="00892207"/>
    <w:rsid w:val="00892843"/>
    <w:rsid w:val="00892ECA"/>
    <w:rsid w:val="00894041"/>
    <w:rsid w:val="0089421F"/>
    <w:rsid w:val="00894FC3"/>
    <w:rsid w:val="008973C1"/>
    <w:rsid w:val="00897B4A"/>
    <w:rsid w:val="00897D1A"/>
    <w:rsid w:val="008A0594"/>
    <w:rsid w:val="008A0BC0"/>
    <w:rsid w:val="008A57F6"/>
    <w:rsid w:val="008A6D1A"/>
    <w:rsid w:val="008A6DE1"/>
    <w:rsid w:val="008B09C6"/>
    <w:rsid w:val="008B1240"/>
    <w:rsid w:val="008B1828"/>
    <w:rsid w:val="008B23A3"/>
    <w:rsid w:val="008B26C7"/>
    <w:rsid w:val="008B2946"/>
    <w:rsid w:val="008B487B"/>
    <w:rsid w:val="008B5936"/>
    <w:rsid w:val="008B5989"/>
    <w:rsid w:val="008B649B"/>
    <w:rsid w:val="008B6A8F"/>
    <w:rsid w:val="008B73F6"/>
    <w:rsid w:val="008C2273"/>
    <w:rsid w:val="008C2614"/>
    <w:rsid w:val="008C2C09"/>
    <w:rsid w:val="008C38AD"/>
    <w:rsid w:val="008C3AAB"/>
    <w:rsid w:val="008C7B0C"/>
    <w:rsid w:val="008C7D59"/>
    <w:rsid w:val="008D1D12"/>
    <w:rsid w:val="008D37F4"/>
    <w:rsid w:val="008D3C22"/>
    <w:rsid w:val="008D4C3C"/>
    <w:rsid w:val="008D6F2C"/>
    <w:rsid w:val="008E0A64"/>
    <w:rsid w:val="008E1855"/>
    <w:rsid w:val="008E1F6E"/>
    <w:rsid w:val="008E2CC6"/>
    <w:rsid w:val="008E3C7D"/>
    <w:rsid w:val="008E42D4"/>
    <w:rsid w:val="008E5404"/>
    <w:rsid w:val="008E6A4D"/>
    <w:rsid w:val="008E6AAD"/>
    <w:rsid w:val="008E6F88"/>
    <w:rsid w:val="008E74CA"/>
    <w:rsid w:val="008F201F"/>
    <w:rsid w:val="008F2B3C"/>
    <w:rsid w:val="008F2F88"/>
    <w:rsid w:val="008F5F6F"/>
    <w:rsid w:val="008F5F87"/>
    <w:rsid w:val="008F5FF1"/>
    <w:rsid w:val="008F73D3"/>
    <w:rsid w:val="0090012C"/>
    <w:rsid w:val="00900D84"/>
    <w:rsid w:val="009011E9"/>
    <w:rsid w:val="00902655"/>
    <w:rsid w:val="00903036"/>
    <w:rsid w:val="00903DB7"/>
    <w:rsid w:val="009064CF"/>
    <w:rsid w:val="00906559"/>
    <w:rsid w:val="009131B3"/>
    <w:rsid w:val="0091332A"/>
    <w:rsid w:val="0091401A"/>
    <w:rsid w:val="00916639"/>
    <w:rsid w:val="009168AD"/>
    <w:rsid w:val="00916C33"/>
    <w:rsid w:val="00917521"/>
    <w:rsid w:val="00917B06"/>
    <w:rsid w:val="00917ED9"/>
    <w:rsid w:val="0092114D"/>
    <w:rsid w:val="00921CCA"/>
    <w:rsid w:val="00921F2F"/>
    <w:rsid w:val="00922006"/>
    <w:rsid w:val="00924273"/>
    <w:rsid w:val="00925DC6"/>
    <w:rsid w:val="00927D25"/>
    <w:rsid w:val="00927D55"/>
    <w:rsid w:val="009314CE"/>
    <w:rsid w:val="00931F69"/>
    <w:rsid w:val="009320B8"/>
    <w:rsid w:val="009329F8"/>
    <w:rsid w:val="0093399B"/>
    <w:rsid w:val="00934F58"/>
    <w:rsid w:val="00937331"/>
    <w:rsid w:val="00937595"/>
    <w:rsid w:val="009423A5"/>
    <w:rsid w:val="00942407"/>
    <w:rsid w:val="00942C46"/>
    <w:rsid w:val="00946E42"/>
    <w:rsid w:val="00947BE8"/>
    <w:rsid w:val="0095195E"/>
    <w:rsid w:val="009522FA"/>
    <w:rsid w:val="00952DBB"/>
    <w:rsid w:val="00952EF0"/>
    <w:rsid w:val="00953BBC"/>
    <w:rsid w:val="00954A8A"/>
    <w:rsid w:val="0095526C"/>
    <w:rsid w:val="00955FE8"/>
    <w:rsid w:val="009572C2"/>
    <w:rsid w:val="00961D4D"/>
    <w:rsid w:val="00962064"/>
    <w:rsid w:val="009626DE"/>
    <w:rsid w:val="00964227"/>
    <w:rsid w:val="00964E84"/>
    <w:rsid w:val="00965044"/>
    <w:rsid w:val="00966604"/>
    <w:rsid w:val="00966923"/>
    <w:rsid w:val="00967CF3"/>
    <w:rsid w:val="00967EF5"/>
    <w:rsid w:val="009700C0"/>
    <w:rsid w:val="009700EB"/>
    <w:rsid w:val="00971199"/>
    <w:rsid w:val="00972276"/>
    <w:rsid w:val="00973305"/>
    <w:rsid w:val="00973C60"/>
    <w:rsid w:val="009745BC"/>
    <w:rsid w:val="00975085"/>
    <w:rsid w:val="00976F18"/>
    <w:rsid w:val="0097750B"/>
    <w:rsid w:val="00977FE5"/>
    <w:rsid w:val="00980B32"/>
    <w:rsid w:val="009812C7"/>
    <w:rsid w:val="009817F6"/>
    <w:rsid w:val="00981D14"/>
    <w:rsid w:val="00981FB5"/>
    <w:rsid w:val="009823E9"/>
    <w:rsid w:val="00983460"/>
    <w:rsid w:val="00986685"/>
    <w:rsid w:val="00986E0D"/>
    <w:rsid w:val="009873CB"/>
    <w:rsid w:val="00991AFE"/>
    <w:rsid w:val="009933D2"/>
    <w:rsid w:val="00995EE4"/>
    <w:rsid w:val="00996356"/>
    <w:rsid w:val="009964BC"/>
    <w:rsid w:val="009A047F"/>
    <w:rsid w:val="009A0A82"/>
    <w:rsid w:val="009A2A70"/>
    <w:rsid w:val="009A44B4"/>
    <w:rsid w:val="009A46DE"/>
    <w:rsid w:val="009A6C66"/>
    <w:rsid w:val="009A7D80"/>
    <w:rsid w:val="009B07B6"/>
    <w:rsid w:val="009B0E0F"/>
    <w:rsid w:val="009B3659"/>
    <w:rsid w:val="009B46A4"/>
    <w:rsid w:val="009B483E"/>
    <w:rsid w:val="009B58F6"/>
    <w:rsid w:val="009B66CE"/>
    <w:rsid w:val="009B7FC5"/>
    <w:rsid w:val="009C23CB"/>
    <w:rsid w:val="009C5A61"/>
    <w:rsid w:val="009C6FE0"/>
    <w:rsid w:val="009C79E5"/>
    <w:rsid w:val="009D0215"/>
    <w:rsid w:val="009D0EBD"/>
    <w:rsid w:val="009D10B2"/>
    <w:rsid w:val="009D1E49"/>
    <w:rsid w:val="009D2131"/>
    <w:rsid w:val="009D34D6"/>
    <w:rsid w:val="009D3C80"/>
    <w:rsid w:val="009D410B"/>
    <w:rsid w:val="009D7DD7"/>
    <w:rsid w:val="009E073D"/>
    <w:rsid w:val="009E0D16"/>
    <w:rsid w:val="009E144E"/>
    <w:rsid w:val="009E189C"/>
    <w:rsid w:val="009E1F6C"/>
    <w:rsid w:val="009E3D10"/>
    <w:rsid w:val="009E4426"/>
    <w:rsid w:val="009E52AB"/>
    <w:rsid w:val="009F0246"/>
    <w:rsid w:val="009F29C2"/>
    <w:rsid w:val="009F3B4B"/>
    <w:rsid w:val="009F5B2A"/>
    <w:rsid w:val="00A00AB6"/>
    <w:rsid w:val="00A00B8F"/>
    <w:rsid w:val="00A017D2"/>
    <w:rsid w:val="00A0198F"/>
    <w:rsid w:val="00A02329"/>
    <w:rsid w:val="00A0265D"/>
    <w:rsid w:val="00A04899"/>
    <w:rsid w:val="00A04B7F"/>
    <w:rsid w:val="00A05067"/>
    <w:rsid w:val="00A0513D"/>
    <w:rsid w:val="00A059E2"/>
    <w:rsid w:val="00A06BF0"/>
    <w:rsid w:val="00A12377"/>
    <w:rsid w:val="00A13478"/>
    <w:rsid w:val="00A16A48"/>
    <w:rsid w:val="00A20ACB"/>
    <w:rsid w:val="00A2320A"/>
    <w:rsid w:val="00A23A76"/>
    <w:rsid w:val="00A242D4"/>
    <w:rsid w:val="00A257AA"/>
    <w:rsid w:val="00A25FD7"/>
    <w:rsid w:val="00A2779E"/>
    <w:rsid w:val="00A31438"/>
    <w:rsid w:val="00A31831"/>
    <w:rsid w:val="00A335A3"/>
    <w:rsid w:val="00A337B8"/>
    <w:rsid w:val="00A33E97"/>
    <w:rsid w:val="00A34DCC"/>
    <w:rsid w:val="00A34FF1"/>
    <w:rsid w:val="00A35C24"/>
    <w:rsid w:val="00A372E6"/>
    <w:rsid w:val="00A40466"/>
    <w:rsid w:val="00A409E4"/>
    <w:rsid w:val="00A42E38"/>
    <w:rsid w:val="00A4500B"/>
    <w:rsid w:val="00A45971"/>
    <w:rsid w:val="00A4666C"/>
    <w:rsid w:val="00A4739F"/>
    <w:rsid w:val="00A5214E"/>
    <w:rsid w:val="00A52260"/>
    <w:rsid w:val="00A52849"/>
    <w:rsid w:val="00A5371E"/>
    <w:rsid w:val="00A53F1A"/>
    <w:rsid w:val="00A54109"/>
    <w:rsid w:val="00A541AF"/>
    <w:rsid w:val="00A5563C"/>
    <w:rsid w:val="00A5604F"/>
    <w:rsid w:val="00A56747"/>
    <w:rsid w:val="00A573F8"/>
    <w:rsid w:val="00A60C64"/>
    <w:rsid w:val="00A61957"/>
    <w:rsid w:val="00A61E01"/>
    <w:rsid w:val="00A62F0D"/>
    <w:rsid w:val="00A63373"/>
    <w:rsid w:val="00A657AB"/>
    <w:rsid w:val="00A67243"/>
    <w:rsid w:val="00A71F46"/>
    <w:rsid w:val="00A75AFC"/>
    <w:rsid w:val="00A76F65"/>
    <w:rsid w:val="00A806E5"/>
    <w:rsid w:val="00A8120F"/>
    <w:rsid w:val="00A857DF"/>
    <w:rsid w:val="00A86882"/>
    <w:rsid w:val="00A873C7"/>
    <w:rsid w:val="00A914F4"/>
    <w:rsid w:val="00A93773"/>
    <w:rsid w:val="00A9445F"/>
    <w:rsid w:val="00A947A6"/>
    <w:rsid w:val="00A95391"/>
    <w:rsid w:val="00A9719E"/>
    <w:rsid w:val="00A976C6"/>
    <w:rsid w:val="00AA007E"/>
    <w:rsid w:val="00AA0524"/>
    <w:rsid w:val="00AA08C4"/>
    <w:rsid w:val="00AA0A5E"/>
    <w:rsid w:val="00AA11F0"/>
    <w:rsid w:val="00AA3C1E"/>
    <w:rsid w:val="00AA414B"/>
    <w:rsid w:val="00AA42EC"/>
    <w:rsid w:val="00AA51BE"/>
    <w:rsid w:val="00AA64DC"/>
    <w:rsid w:val="00AA689C"/>
    <w:rsid w:val="00AA7210"/>
    <w:rsid w:val="00AB0CF2"/>
    <w:rsid w:val="00AB1219"/>
    <w:rsid w:val="00AB1893"/>
    <w:rsid w:val="00AB32A4"/>
    <w:rsid w:val="00AB4D3B"/>
    <w:rsid w:val="00AB527D"/>
    <w:rsid w:val="00AB713E"/>
    <w:rsid w:val="00AC4653"/>
    <w:rsid w:val="00AC5087"/>
    <w:rsid w:val="00AC56ED"/>
    <w:rsid w:val="00AC5A21"/>
    <w:rsid w:val="00AC6540"/>
    <w:rsid w:val="00AC6B95"/>
    <w:rsid w:val="00AC7548"/>
    <w:rsid w:val="00AD17BC"/>
    <w:rsid w:val="00AD1856"/>
    <w:rsid w:val="00AD207E"/>
    <w:rsid w:val="00AD3521"/>
    <w:rsid w:val="00AD456E"/>
    <w:rsid w:val="00AD4A59"/>
    <w:rsid w:val="00AD4E77"/>
    <w:rsid w:val="00AD52C4"/>
    <w:rsid w:val="00AD576A"/>
    <w:rsid w:val="00AD6323"/>
    <w:rsid w:val="00AD6A60"/>
    <w:rsid w:val="00AD7648"/>
    <w:rsid w:val="00AD7D13"/>
    <w:rsid w:val="00AE0F4F"/>
    <w:rsid w:val="00AE112D"/>
    <w:rsid w:val="00AE21B9"/>
    <w:rsid w:val="00AE314A"/>
    <w:rsid w:val="00AE50FF"/>
    <w:rsid w:val="00AE55BB"/>
    <w:rsid w:val="00AE5C43"/>
    <w:rsid w:val="00AE68CA"/>
    <w:rsid w:val="00AE75D7"/>
    <w:rsid w:val="00AE7740"/>
    <w:rsid w:val="00AF0C2D"/>
    <w:rsid w:val="00AF38C0"/>
    <w:rsid w:val="00AF60A4"/>
    <w:rsid w:val="00B01D2B"/>
    <w:rsid w:val="00B02CC4"/>
    <w:rsid w:val="00B03747"/>
    <w:rsid w:val="00B048D2"/>
    <w:rsid w:val="00B04A54"/>
    <w:rsid w:val="00B05FFE"/>
    <w:rsid w:val="00B07B0D"/>
    <w:rsid w:val="00B105B1"/>
    <w:rsid w:val="00B10B89"/>
    <w:rsid w:val="00B11A35"/>
    <w:rsid w:val="00B11D99"/>
    <w:rsid w:val="00B124B6"/>
    <w:rsid w:val="00B147EB"/>
    <w:rsid w:val="00B15335"/>
    <w:rsid w:val="00B2091D"/>
    <w:rsid w:val="00B216E7"/>
    <w:rsid w:val="00B22D76"/>
    <w:rsid w:val="00B22E93"/>
    <w:rsid w:val="00B23499"/>
    <w:rsid w:val="00B2461F"/>
    <w:rsid w:val="00B25A58"/>
    <w:rsid w:val="00B260D0"/>
    <w:rsid w:val="00B26A06"/>
    <w:rsid w:val="00B306F7"/>
    <w:rsid w:val="00B30A08"/>
    <w:rsid w:val="00B339C8"/>
    <w:rsid w:val="00B342AE"/>
    <w:rsid w:val="00B3445A"/>
    <w:rsid w:val="00B35386"/>
    <w:rsid w:val="00B40060"/>
    <w:rsid w:val="00B40B4B"/>
    <w:rsid w:val="00B42BC1"/>
    <w:rsid w:val="00B43442"/>
    <w:rsid w:val="00B438F2"/>
    <w:rsid w:val="00B44138"/>
    <w:rsid w:val="00B4531F"/>
    <w:rsid w:val="00B4576A"/>
    <w:rsid w:val="00B54892"/>
    <w:rsid w:val="00B54C30"/>
    <w:rsid w:val="00B5587A"/>
    <w:rsid w:val="00B5659E"/>
    <w:rsid w:val="00B56A85"/>
    <w:rsid w:val="00B5703F"/>
    <w:rsid w:val="00B5781E"/>
    <w:rsid w:val="00B6139C"/>
    <w:rsid w:val="00B630F8"/>
    <w:rsid w:val="00B635C7"/>
    <w:rsid w:val="00B658E0"/>
    <w:rsid w:val="00B6731D"/>
    <w:rsid w:val="00B67F9B"/>
    <w:rsid w:val="00B702B8"/>
    <w:rsid w:val="00B71B53"/>
    <w:rsid w:val="00B72D8B"/>
    <w:rsid w:val="00B73E65"/>
    <w:rsid w:val="00B74627"/>
    <w:rsid w:val="00B75EAD"/>
    <w:rsid w:val="00B75FF8"/>
    <w:rsid w:val="00B765CC"/>
    <w:rsid w:val="00B80449"/>
    <w:rsid w:val="00B80E34"/>
    <w:rsid w:val="00B81286"/>
    <w:rsid w:val="00B81662"/>
    <w:rsid w:val="00B81E18"/>
    <w:rsid w:val="00B825A4"/>
    <w:rsid w:val="00B82B8E"/>
    <w:rsid w:val="00B82F46"/>
    <w:rsid w:val="00B854FC"/>
    <w:rsid w:val="00B85688"/>
    <w:rsid w:val="00B85B52"/>
    <w:rsid w:val="00B878FD"/>
    <w:rsid w:val="00B92FA6"/>
    <w:rsid w:val="00B9402F"/>
    <w:rsid w:val="00BA01AD"/>
    <w:rsid w:val="00BA2470"/>
    <w:rsid w:val="00BA3903"/>
    <w:rsid w:val="00BA3B09"/>
    <w:rsid w:val="00BA47D0"/>
    <w:rsid w:val="00BA497D"/>
    <w:rsid w:val="00BA5D0F"/>
    <w:rsid w:val="00BA5E12"/>
    <w:rsid w:val="00BA5F25"/>
    <w:rsid w:val="00BA6678"/>
    <w:rsid w:val="00BB0B12"/>
    <w:rsid w:val="00BB18FB"/>
    <w:rsid w:val="00BB36EF"/>
    <w:rsid w:val="00BB4433"/>
    <w:rsid w:val="00BB59F4"/>
    <w:rsid w:val="00BB5BAF"/>
    <w:rsid w:val="00BB63B8"/>
    <w:rsid w:val="00BB7E94"/>
    <w:rsid w:val="00BC0D75"/>
    <w:rsid w:val="00BC1496"/>
    <w:rsid w:val="00BC1EB9"/>
    <w:rsid w:val="00BC4182"/>
    <w:rsid w:val="00BC4853"/>
    <w:rsid w:val="00BC4C8F"/>
    <w:rsid w:val="00BC59CC"/>
    <w:rsid w:val="00BC5B58"/>
    <w:rsid w:val="00BC6E57"/>
    <w:rsid w:val="00BD0B1C"/>
    <w:rsid w:val="00BD0EB9"/>
    <w:rsid w:val="00BD0F6C"/>
    <w:rsid w:val="00BD0F8A"/>
    <w:rsid w:val="00BD14AF"/>
    <w:rsid w:val="00BD3188"/>
    <w:rsid w:val="00BD4681"/>
    <w:rsid w:val="00BD603B"/>
    <w:rsid w:val="00BD6D72"/>
    <w:rsid w:val="00BE0997"/>
    <w:rsid w:val="00BE1FE2"/>
    <w:rsid w:val="00BE29AF"/>
    <w:rsid w:val="00BE305B"/>
    <w:rsid w:val="00BE4466"/>
    <w:rsid w:val="00BE5D77"/>
    <w:rsid w:val="00BE6350"/>
    <w:rsid w:val="00BE69BE"/>
    <w:rsid w:val="00BE7A8B"/>
    <w:rsid w:val="00BF2367"/>
    <w:rsid w:val="00BF23D1"/>
    <w:rsid w:val="00BF2A3D"/>
    <w:rsid w:val="00BF4027"/>
    <w:rsid w:val="00BF417F"/>
    <w:rsid w:val="00BF4C58"/>
    <w:rsid w:val="00BF5118"/>
    <w:rsid w:val="00BF60E3"/>
    <w:rsid w:val="00BF66F9"/>
    <w:rsid w:val="00C000C1"/>
    <w:rsid w:val="00C0241D"/>
    <w:rsid w:val="00C02A8F"/>
    <w:rsid w:val="00C02BC5"/>
    <w:rsid w:val="00C02D4B"/>
    <w:rsid w:val="00C049A9"/>
    <w:rsid w:val="00C04C87"/>
    <w:rsid w:val="00C04D84"/>
    <w:rsid w:val="00C056FE"/>
    <w:rsid w:val="00C112D3"/>
    <w:rsid w:val="00C11A48"/>
    <w:rsid w:val="00C11FE2"/>
    <w:rsid w:val="00C129A0"/>
    <w:rsid w:val="00C130F0"/>
    <w:rsid w:val="00C135E6"/>
    <w:rsid w:val="00C149F1"/>
    <w:rsid w:val="00C14CD5"/>
    <w:rsid w:val="00C22624"/>
    <w:rsid w:val="00C2347B"/>
    <w:rsid w:val="00C240F6"/>
    <w:rsid w:val="00C24DCB"/>
    <w:rsid w:val="00C276D8"/>
    <w:rsid w:val="00C3067D"/>
    <w:rsid w:val="00C31D02"/>
    <w:rsid w:val="00C338A7"/>
    <w:rsid w:val="00C34DFA"/>
    <w:rsid w:val="00C351EF"/>
    <w:rsid w:val="00C367E5"/>
    <w:rsid w:val="00C430A2"/>
    <w:rsid w:val="00C43A66"/>
    <w:rsid w:val="00C4549C"/>
    <w:rsid w:val="00C45F33"/>
    <w:rsid w:val="00C50653"/>
    <w:rsid w:val="00C511B5"/>
    <w:rsid w:val="00C51F31"/>
    <w:rsid w:val="00C552A9"/>
    <w:rsid w:val="00C57463"/>
    <w:rsid w:val="00C57508"/>
    <w:rsid w:val="00C6027A"/>
    <w:rsid w:val="00C61019"/>
    <w:rsid w:val="00C63304"/>
    <w:rsid w:val="00C6390A"/>
    <w:rsid w:val="00C64A82"/>
    <w:rsid w:val="00C66B9A"/>
    <w:rsid w:val="00C70516"/>
    <w:rsid w:val="00C70D50"/>
    <w:rsid w:val="00C726B7"/>
    <w:rsid w:val="00C72781"/>
    <w:rsid w:val="00C746BC"/>
    <w:rsid w:val="00C74960"/>
    <w:rsid w:val="00C74AEE"/>
    <w:rsid w:val="00C7590A"/>
    <w:rsid w:val="00C80B6E"/>
    <w:rsid w:val="00C80FB0"/>
    <w:rsid w:val="00C81372"/>
    <w:rsid w:val="00C81958"/>
    <w:rsid w:val="00C82367"/>
    <w:rsid w:val="00C83CFE"/>
    <w:rsid w:val="00C852CD"/>
    <w:rsid w:val="00C90507"/>
    <w:rsid w:val="00C9075A"/>
    <w:rsid w:val="00C90F7F"/>
    <w:rsid w:val="00C913B2"/>
    <w:rsid w:val="00C91760"/>
    <w:rsid w:val="00C91BE5"/>
    <w:rsid w:val="00C94D06"/>
    <w:rsid w:val="00C96B01"/>
    <w:rsid w:val="00CA21C1"/>
    <w:rsid w:val="00CA49F7"/>
    <w:rsid w:val="00CA4CF7"/>
    <w:rsid w:val="00CA5832"/>
    <w:rsid w:val="00CB0954"/>
    <w:rsid w:val="00CB0BBE"/>
    <w:rsid w:val="00CB0C2D"/>
    <w:rsid w:val="00CB16CF"/>
    <w:rsid w:val="00CB4786"/>
    <w:rsid w:val="00CB4BAA"/>
    <w:rsid w:val="00CB6046"/>
    <w:rsid w:val="00CB6307"/>
    <w:rsid w:val="00CC0483"/>
    <w:rsid w:val="00CC1F0D"/>
    <w:rsid w:val="00CC4394"/>
    <w:rsid w:val="00CC7311"/>
    <w:rsid w:val="00CD20FD"/>
    <w:rsid w:val="00CD210B"/>
    <w:rsid w:val="00CD2FE8"/>
    <w:rsid w:val="00CD31AB"/>
    <w:rsid w:val="00CD3450"/>
    <w:rsid w:val="00CD5396"/>
    <w:rsid w:val="00CE0766"/>
    <w:rsid w:val="00CE08E0"/>
    <w:rsid w:val="00CE1361"/>
    <w:rsid w:val="00CE1634"/>
    <w:rsid w:val="00CE1D01"/>
    <w:rsid w:val="00CE2074"/>
    <w:rsid w:val="00CE275E"/>
    <w:rsid w:val="00CE2AE0"/>
    <w:rsid w:val="00CE4930"/>
    <w:rsid w:val="00CE6463"/>
    <w:rsid w:val="00CF002E"/>
    <w:rsid w:val="00CF05C5"/>
    <w:rsid w:val="00CF0D3C"/>
    <w:rsid w:val="00CF178D"/>
    <w:rsid w:val="00CF1BEC"/>
    <w:rsid w:val="00CF3BE0"/>
    <w:rsid w:val="00CF534D"/>
    <w:rsid w:val="00CF5702"/>
    <w:rsid w:val="00CF5805"/>
    <w:rsid w:val="00CF5887"/>
    <w:rsid w:val="00CF6059"/>
    <w:rsid w:val="00CF6700"/>
    <w:rsid w:val="00CF756B"/>
    <w:rsid w:val="00CF79A3"/>
    <w:rsid w:val="00CF7C31"/>
    <w:rsid w:val="00CF7DCF"/>
    <w:rsid w:val="00D01490"/>
    <w:rsid w:val="00D0150E"/>
    <w:rsid w:val="00D03DFF"/>
    <w:rsid w:val="00D04BFB"/>
    <w:rsid w:val="00D05044"/>
    <w:rsid w:val="00D0520F"/>
    <w:rsid w:val="00D05492"/>
    <w:rsid w:val="00D056F0"/>
    <w:rsid w:val="00D05902"/>
    <w:rsid w:val="00D05CDE"/>
    <w:rsid w:val="00D0607B"/>
    <w:rsid w:val="00D06475"/>
    <w:rsid w:val="00D10F17"/>
    <w:rsid w:val="00D12F0A"/>
    <w:rsid w:val="00D13E83"/>
    <w:rsid w:val="00D1487D"/>
    <w:rsid w:val="00D14D31"/>
    <w:rsid w:val="00D16E02"/>
    <w:rsid w:val="00D20AFE"/>
    <w:rsid w:val="00D2109F"/>
    <w:rsid w:val="00D2125B"/>
    <w:rsid w:val="00D2243D"/>
    <w:rsid w:val="00D23208"/>
    <w:rsid w:val="00D2689D"/>
    <w:rsid w:val="00D27671"/>
    <w:rsid w:val="00D277EB"/>
    <w:rsid w:val="00D30EDF"/>
    <w:rsid w:val="00D3199A"/>
    <w:rsid w:val="00D3219F"/>
    <w:rsid w:val="00D321B7"/>
    <w:rsid w:val="00D35B4B"/>
    <w:rsid w:val="00D36D4F"/>
    <w:rsid w:val="00D37057"/>
    <w:rsid w:val="00D378EE"/>
    <w:rsid w:val="00D4052A"/>
    <w:rsid w:val="00D431F2"/>
    <w:rsid w:val="00D43396"/>
    <w:rsid w:val="00D44A71"/>
    <w:rsid w:val="00D45323"/>
    <w:rsid w:val="00D46D09"/>
    <w:rsid w:val="00D47DF9"/>
    <w:rsid w:val="00D51343"/>
    <w:rsid w:val="00D52E43"/>
    <w:rsid w:val="00D534ED"/>
    <w:rsid w:val="00D55C1C"/>
    <w:rsid w:val="00D561EC"/>
    <w:rsid w:val="00D5692F"/>
    <w:rsid w:val="00D56B66"/>
    <w:rsid w:val="00D57027"/>
    <w:rsid w:val="00D61638"/>
    <w:rsid w:val="00D645AE"/>
    <w:rsid w:val="00D659EC"/>
    <w:rsid w:val="00D65F09"/>
    <w:rsid w:val="00D660B2"/>
    <w:rsid w:val="00D6611A"/>
    <w:rsid w:val="00D667F8"/>
    <w:rsid w:val="00D66A4A"/>
    <w:rsid w:val="00D676D6"/>
    <w:rsid w:val="00D70595"/>
    <w:rsid w:val="00D70A9D"/>
    <w:rsid w:val="00D718A9"/>
    <w:rsid w:val="00D718ED"/>
    <w:rsid w:val="00D72B5B"/>
    <w:rsid w:val="00D7332A"/>
    <w:rsid w:val="00D74368"/>
    <w:rsid w:val="00D74DDB"/>
    <w:rsid w:val="00D77016"/>
    <w:rsid w:val="00D77ACB"/>
    <w:rsid w:val="00D77E5B"/>
    <w:rsid w:val="00D80766"/>
    <w:rsid w:val="00D8097F"/>
    <w:rsid w:val="00D80ED2"/>
    <w:rsid w:val="00D8401A"/>
    <w:rsid w:val="00D8511C"/>
    <w:rsid w:val="00D8526C"/>
    <w:rsid w:val="00D86DD9"/>
    <w:rsid w:val="00D90918"/>
    <w:rsid w:val="00D919F8"/>
    <w:rsid w:val="00D92CE0"/>
    <w:rsid w:val="00D92F8C"/>
    <w:rsid w:val="00D93605"/>
    <w:rsid w:val="00D93FD5"/>
    <w:rsid w:val="00D9645C"/>
    <w:rsid w:val="00D97B35"/>
    <w:rsid w:val="00DA08CD"/>
    <w:rsid w:val="00DA122B"/>
    <w:rsid w:val="00DA1615"/>
    <w:rsid w:val="00DA31EA"/>
    <w:rsid w:val="00DA3F02"/>
    <w:rsid w:val="00DA4B81"/>
    <w:rsid w:val="00DA6BCB"/>
    <w:rsid w:val="00DA7CA4"/>
    <w:rsid w:val="00DB01E2"/>
    <w:rsid w:val="00DB19C9"/>
    <w:rsid w:val="00DB2C50"/>
    <w:rsid w:val="00DB4A13"/>
    <w:rsid w:val="00DB5B38"/>
    <w:rsid w:val="00DB635C"/>
    <w:rsid w:val="00DB69E0"/>
    <w:rsid w:val="00DB6DF7"/>
    <w:rsid w:val="00DC0445"/>
    <w:rsid w:val="00DC164A"/>
    <w:rsid w:val="00DC183A"/>
    <w:rsid w:val="00DC1C5B"/>
    <w:rsid w:val="00DC47C5"/>
    <w:rsid w:val="00DC4899"/>
    <w:rsid w:val="00DC4DA5"/>
    <w:rsid w:val="00DC5397"/>
    <w:rsid w:val="00DC60DB"/>
    <w:rsid w:val="00DD0EE9"/>
    <w:rsid w:val="00DD1ADF"/>
    <w:rsid w:val="00DD1B05"/>
    <w:rsid w:val="00DD34A2"/>
    <w:rsid w:val="00DD3BB4"/>
    <w:rsid w:val="00DD5624"/>
    <w:rsid w:val="00DD6FDC"/>
    <w:rsid w:val="00DD711D"/>
    <w:rsid w:val="00DE093E"/>
    <w:rsid w:val="00DE0B9E"/>
    <w:rsid w:val="00DE3180"/>
    <w:rsid w:val="00DE4750"/>
    <w:rsid w:val="00DE47C9"/>
    <w:rsid w:val="00DE4833"/>
    <w:rsid w:val="00DE4EA5"/>
    <w:rsid w:val="00DE56B6"/>
    <w:rsid w:val="00DE56D0"/>
    <w:rsid w:val="00DE5A54"/>
    <w:rsid w:val="00DE5FE5"/>
    <w:rsid w:val="00DE621E"/>
    <w:rsid w:val="00DE6F7D"/>
    <w:rsid w:val="00DE77FB"/>
    <w:rsid w:val="00DE7D13"/>
    <w:rsid w:val="00DF31E3"/>
    <w:rsid w:val="00DF3B47"/>
    <w:rsid w:val="00DF40A1"/>
    <w:rsid w:val="00DF5074"/>
    <w:rsid w:val="00DF5D8D"/>
    <w:rsid w:val="00E00B0D"/>
    <w:rsid w:val="00E03515"/>
    <w:rsid w:val="00E035C6"/>
    <w:rsid w:val="00E04A22"/>
    <w:rsid w:val="00E05C26"/>
    <w:rsid w:val="00E06CE9"/>
    <w:rsid w:val="00E07125"/>
    <w:rsid w:val="00E12632"/>
    <w:rsid w:val="00E1405A"/>
    <w:rsid w:val="00E15FE1"/>
    <w:rsid w:val="00E164F4"/>
    <w:rsid w:val="00E16722"/>
    <w:rsid w:val="00E1727F"/>
    <w:rsid w:val="00E20B60"/>
    <w:rsid w:val="00E20DF1"/>
    <w:rsid w:val="00E20E74"/>
    <w:rsid w:val="00E21ABD"/>
    <w:rsid w:val="00E21E91"/>
    <w:rsid w:val="00E220CE"/>
    <w:rsid w:val="00E22A23"/>
    <w:rsid w:val="00E230D1"/>
    <w:rsid w:val="00E2315C"/>
    <w:rsid w:val="00E23744"/>
    <w:rsid w:val="00E244F2"/>
    <w:rsid w:val="00E24A78"/>
    <w:rsid w:val="00E250A3"/>
    <w:rsid w:val="00E26CF8"/>
    <w:rsid w:val="00E307C2"/>
    <w:rsid w:val="00E3148C"/>
    <w:rsid w:val="00E32AAC"/>
    <w:rsid w:val="00E34030"/>
    <w:rsid w:val="00E34212"/>
    <w:rsid w:val="00E34220"/>
    <w:rsid w:val="00E34776"/>
    <w:rsid w:val="00E35ED2"/>
    <w:rsid w:val="00E37CD2"/>
    <w:rsid w:val="00E417BF"/>
    <w:rsid w:val="00E42CAD"/>
    <w:rsid w:val="00E43768"/>
    <w:rsid w:val="00E43C26"/>
    <w:rsid w:val="00E44E67"/>
    <w:rsid w:val="00E45AF3"/>
    <w:rsid w:val="00E46A94"/>
    <w:rsid w:val="00E47AE6"/>
    <w:rsid w:val="00E519FD"/>
    <w:rsid w:val="00E52010"/>
    <w:rsid w:val="00E520AA"/>
    <w:rsid w:val="00E525C1"/>
    <w:rsid w:val="00E54274"/>
    <w:rsid w:val="00E55E92"/>
    <w:rsid w:val="00E5754C"/>
    <w:rsid w:val="00E579D7"/>
    <w:rsid w:val="00E61ACC"/>
    <w:rsid w:val="00E62C6D"/>
    <w:rsid w:val="00E63045"/>
    <w:rsid w:val="00E64919"/>
    <w:rsid w:val="00E64C7B"/>
    <w:rsid w:val="00E66012"/>
    <w:rsid w:val="00E6640C"/>
    <w:rsid w:val="00E67CF5"/>
    <w:rsid w:val="00E7123E"/>
    <w:rsid w:val="00E7214D"/>
    <w:rsid w:val="00E72CF2"/>
    <w:rsid w:val="00E74493"/>
    <w:rsid w:val="00E745CE"/>
    <w:rsid w:val="00E747D9"/>
    <w:rsid w:val="00E76402"/>
    <w:rsid w:val="00E76AA3"/>
    <w:rsid w:val="00E81659"/>
    <w:rsid w:val="00E81935"/>
    <w:rsid w:val="00E82D19"/>
    <w:rsid w:val="00E83055"/>
    <w:rsid w:val="00E83450"/>
    <w:rsid w:val="00E84E06"/>
    <w:rsid w:val="00E852C4"/>
    <w:rsid w:val="00E85588"/>
    <w:rsid w:val="00E860D7"/>
    <w:rsid w:val="00E861D1"/>
    <w:rsid w:val="00E9143D"/>
    <w:rsid w:val="00E92CB4"/>
    <w:rsid w:val="00E943A4"/>
    <w:rsid w:val="00E958BC"/>
    <w:rsid w:val="00E95BAE"/>
    <w:rsid w:val="00E97A46"/>
    <w:rsid w:val="00EA0946"/>
    <w:rsid w:val="00EA484D"/>
    <w:rsid w:val="00EA4937"/>
    <w:rsid w:val="00EA5273"/>
    <w:rsid w:val="00EA5688"/>
    <w:rsid w:val="00EA57A7"/>
    <w:rsid w:val="00EB26BD"/>
    <w:rsid w:val="00EB3630"/>
    <w:rsid w:val="00EB4A5D"/>
    <w:rsid w:val="00EB52EE"/>
    <w:rsid w:val="00EB5325"/>
    <w:rsid w:val="00EB72A9"/>
    <w:rsid w:val="00EB7DDF"/>
    <w:rsid w:val="00EC0278"/>
    <w:rsid w:val="00EC2907"/>
    <w:rsid w:val="00EC3329"/>
    <w:rsid w:val="00EC4008"/>
    <w:rsid w:val="00EC4A8A"/>
    <w:rsid w:val="00EC5293"/>
    <w:rsid w:val="00EC58E2"/>
    <w:rsid w:val="00EC5939"/>
    <w:rsid w:val="00EC5B52"/>
    <w:rsid w:val="00EC66F1"/>
    <w:rsid w:val="00ED12F9"/>
    <w:rsid w:val="00ED19A0"/>
    <w:rsid w:val="00ED1B5A"/>
    <w:rsid w:val="00ED2B37"/>
    <w:rsid w:val="00ED2D50"/>
    <w:rsid w:val="00ED46B3"/>
    <w:rsid w:val="00ED5636"/>
    <w:rsid w:val="00ED5A88"/>
    <w:rsid w:val="00ED5E06"/>
    <w:rsid w:val="00ED6E27"/>
    <w:rsid w:val="00EE03AF"/>
    <w:rsid w:val="00EE1216"/>
    <w:rsid w:val="00EE126D"/>
    <w:rsid w:val="00EE2B04"/>
    <w:rsid w:val="00EE49B4"/>
    <w:rsid w:val="00EE4F58"/>
    <w:rsid w:val="00EE5568"/>
    <w:rsid w:val="00EE75D8"/>
    <w:rsid w:val="00EF013B"/>
    <w:rsid w:val="00EF07E0"/>
    <w:rsid w:val="00EF21A2"/>
    <w:rsid w:val="00EF2A51"/>
    <w:rsid w:val="00EF3D94"/>
    <w:rsid w:val="00EF5FDE"/>
    <w:rsid w:val="00EF6289"/>
    <w:rsid w:val="00EF6DED"/>
    <w:rsid w:val="00EF6E4C"/>
    <w:rsid w:val="00EF77A3"/>
    <w:rsid w:val="00EF7A80"/>
    <w:rsid w:val="00F0040C"/>
    <w:rsid w:val="00F00851"/>
    <w:rsid w:val="00F00BCA"/>
    <w:rsid w:val="00F01B50"/>
    <w:rsid w:val="00F02B2D"/>
    <w:rsid w:val="00F04317"/>
    <w:rsid w:val="00F070A3"/>
    <w:rsid w:val="00F07D83"/>
    <w:rsid w:val="00F102A0"/>
    <w:rsid w:val="00F11DDF"/>
    <w:rsid w:val="00F13FB8"/>
    <w:rsid w:val="00F1544C"/>
    <w:rsid w:val="00F1547D"/>
    <w:rsid w:val="00F160DA"/>
    <w:rsid w:val="00F17122"/>
    <w:rsid w:val="00F17953"/>
    <w:rsid w:val="00F21F8F"/>
    <w:rsid w:val="00F2455B"/>
    <w:rsid w:val="00F25AE8"/>
    <w:rsid w:val="00F25E09"/>
    <w:rsid w:val="00F25EE7"/>
    <w:rsid w:val="00F27DD4"/>
    <w:rsid w:val="00F30CDB"/>
    <w:rsid w:val="00F30EFE"/>
    <w:rsid w:val="00F36D50"/>
    <w:rsid w:val="00F4010A"/>
    <w:rsid w:val="00F401C5"/>
    <w:rsid w:val="00F40521"/>
    <w:rsid w:val="00F41554"/>
    <w:rsid w:val="00F41A01"/>
    <w:rsid w:val="00F4318B"/>
    <w:rsid w:val="00F461E4"/>
    <w:rsid w:val="00F46A66"/>
    <w:rsid w:val="00F474F8"/>
    <w:rsid w:val="00F50CEF"/>
    <w:rsid w:val="00F5257D"/>
    <w:rsid w:val="00F52B61"/>
    <w:rsid w:val="00F52BFA"/>
    <w:rsid w:val="00F54123"/>
    <w:rsid w:val="00F54402"/>
    <w:rsid w:val="00F5440F"/>
    <w:rsid w:val="00F55AA0"/>
    <w:rsid w:val="00F57AD1"/>
    <w:rsid w:val="00F64FE4"/>
    <w:rsid w:val="00F65265"/>
    <w:rsid w:val="00F70282"/>
    <w:rsid w:val="00F7046F"/>
    <w:rsid w:val="00F741CA"/>
    <w:rsid w:val="00F75018"/>
    <w:rsid w:val="00F769DF"/>
    <w:rsid w:val="00F811CB"/>
    <w:rsid w:val="00F81721"/>
    <w:rsid w:val="00F81779"/>
    <w:rsid w:val="00F8285E"/>
    <w:rsid w:val="00F832F0"/>
    <w:rsid w:val="00F843E3"/>
    <w:rsid w:val="00F84CB8"/>
    <w:rsid w:val="00F86A32"/>
    <w:rsid w:val="00F87181"/>
    <w:rsid w:val="00F873B9"/>
    <w:rsid w:val="00F9147F"/>
    <w:rsid w:val="00F91508"/>
    <w:rsid w:val="00F92E4B"/>
    <w:rsid w:val="00F93728"/>
    <w:rsid w:val="00F93C4B"/>
    <w:rsid w:val="00F93FAE"/>
    <w:rsid w:val="00F94D9E"/>
    <w:rsid w:val="00F9565B"/>
    <w:rsid w:val="00F957FC"/>
    <w:rsid w:val="00F95B2C"/>
    <w:rsid w:val="00F9706A"/>
    <w:rsid w:val="00F97686"/>
    <w:rsid w:val="00F97DCB"/>
    <w:rsid w:val="00FA0461"/>
    <w:rsid w:val="00FA21D7"/>
    <w:rsid w:val="00FA3841"/>
    <w:rsid w:val="00FA4559"/>
    <w:rsid w:val="00FA48F2"/>
    <w:rsid w:val="00FA6BB4"/>
    <w:rsid w:val="00FA7519"/>
    <w:rsid w:val="00FB025A"/>
    <w:rsid w:val="00FB3F42"/>
    <w:rsid w:val="00FB41BC"/>
    <w:rsid w:val="00FB4D39"/>
    <w:rsid w:val="00FB4E00"/>
    <w:rsid w:val="00FB56C4"/>
    <w:rsid w:val="00FB68A9"/>
    <w:rsid w:val="00FB7864"/>
    <w:rsid w:val="00FC08AE"/>
    <w:rsid w:val="00FC2182"/>
    <w:rsid w:val="00FC3B93"/>
    <w:rsid w:val="00FC4057"/>
    <w:rsid w:val="00FD1EF6"/>
    <w:rsid w:val="00FD279A"/>
    <w:rsid w:val="00FD2AA8"/>
    <w:rsid w:val="00FD3B2D"/>
    <w:rsid w:val="00FD430E"/>
    <w:rsid w:val="00FD4736"/>
    <w:rsid w:val="00FD4984"/>
    <w:rsid w:val="00FD54B3"/>
    <w:rsid w:val="00FD669F"/>
    <w:rsid w:val="00FD7C92"/>
    <w:rsid w:val="00FE2789"/>
    <w:rsid w:val="00FE2E74"/>
    <w:rsid w:val="00FE39F6"/>
    <w:rsid w:val="00FE4D57"/>
    <w:rsid w:val="00FE6915"/>
    <w:rsid w:val="00FF066D"/>
    <w:rsid w:val="00FF06F6"/>
    <w:rsid w:val="00FF1300"/>
    <w:rsid w:val="00FF2D97"/>
    <w:rsid w:val="00FF5763"/>
    <w:rsid w:val="00FF6AF9"/>
    <w:rsid w:val="00FF6C58"/>
    <w:rsid w:val="00FF7080"/>
    <w:rsid w:val="00FF7374"/>
    <w:rsid w:val="00FF7F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4CF51"/>
  <w15:chartTrackingRefBased/>
  <w15:docId w15:val="{1929C016-20A4-42C7-AF0F-B2BFB153B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3D39"/>
    <w:rPr>
      <w:rFonts w:ascii="Arial" w:hAnsi="Arial"/>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63D39"/>
    <w:pPr>
      <w:tabs>
        <w:tab w:val="center" w:pos="4419"/>
        <w:tab w:val="right" w:pos="8838"/>
      </w:tabs>
    </w:pPr>
  </w:style>
  <w:style w:type="table" w:styleId="Tablaconcuadrcula">
    <w:name w:val="Table Grid"/>
    <w:basedOn w:val="Tablanormal"/>
    <w:rsid w:val="00863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53D0B"/>
    <w:rPr>
      <w:rFonts w:ascii="Tahoma" w:hAnsi="Tahoma" w:cs="Tahoma"/>
      <w:sz w:val="16"/>
      <w:szCs w:val="16"/>
    </w:rPr>
  </w:style>
  <w:style w:type="character" w:styleId="Refdecomentario">
    <w:name w:val="annotation reference"/>
    <w:rsid w:val="00592196"/>
    <w:rPr>
      <w:sz w:val="16"/>
      <w:szCs w:val="16"/>
    </w:rPr>
  </w:style>
  <w:style w:type="paragraph" w:styleId="Textocomentario">
    <w:name w:val="annotation text"/>
    <w:basedOn w:val="Normal"/>
    <w:link w:val="TextocomentarioCar"/>
    <w:rsid w:val="00592196"/>
    <w:rPr>
      <w:sz w:val="20"/>
      <w:szCs w:val="20"/>
    </w:rPr>
  </w:style>
  <w:style w:type="character" w:customStyle="1" w:styleId="TextocomentarioCar">
    <w:name w:val="Texto comentario Car"/>
    <w:link w:val="Textocomentario"/>
    <w:rsid w:val="00592196"/>
    <w:rPr>
      <w:rFonts w:ascii="Arial" w:hAnsi="Arial"/>
    </w:rPr>
  </w:style>
  <w:style w:type="paragraph" w:styleId="Asuntodelcomentario">
    <w:name w:val="annotation subject"/>
    <w:basedOn w:val="Textocomentario"/>
    <w:next w:val="Textocomentario"/>
    <w:link w:val="AsuntodelcomentarioCar"/>
    <w:rsid w:val="00592196"/>
    <w:rPr>
      <w:b/>
      <w:bCs/>
    </w:rPr>
  </w:style>
  <w:style w:type="character" w:customStyle="1" w:styleId="AsuntodelcomentarioCar">
    <w:name w:val="Asunto del comentario Car"/>
    <w:link w:val="Asuntodelcomentario"/>
    <w:rsid w:val="00592196"/>
    <w:rPr>
      <w:rFonts w:ascii="Arial" w:hAnsi="Arial"/>
      <w:b/>
      <w:bCs/>
    </w:rPr>
  </w:style>
  <w:style w:type="character" w:customStyle="1" w:styleId="apple-converted-space">
    <w:name w:val="apple-converted-space"/>
    <w:rsid w:val="00573518"/>
  </w:style>
  <w:style w:type="paragraph" w:styleId="Textonotapie">
    <w:name w:val="footnote text"/>
    <w:basedOn w:val="Normal"/>
    <w:link w:val="TextonotapieCar"/>
    <w:uiPriority w:val="99"/>
    <w:rsid w:val="00761C49"/>
    <w:rPr>
      <w:sz w:val="20"/>
      <w:szCs w:val="20"/>
    </w:rPr>
  </w:style>
  <w:style w:type="character" w:customStyle="1" w:styleId="TextonotapieCar">
    <w:name w:val="Texto nota pie Car"/>
    <w:basedOn w:val="Fuentedeprrafopredeter"/>
    <w:link w:val="Textonotapie"/>
    <w:uiPriority w:val="99"/>
    <w:rsid w:val="00761C49"/>
    <w:rPr>
      <w:rFonts w:ascii="Arial" w:hAnsi="Arial"/>
      <w:lang w:val="es-ES" w:eastAsia="es-ES"/>
    </w:rPr>
  </w:style>
  <w:style w:type="character" w:styleId="Refdenotaalpie">
    <w:name w:val="footnote reference"/>
    <w:basedOn w:val="Fuentedeprrafopredeter"/>
    <w:rsid w:val="00761C49"/>
    <w:rPr>
      <w:vertAlign w:val="superscript"/>
    </w:rPr>
  </w:style>
  <w:style w:type="paragraph" w:styleId="Piedepgina">
    <w:name w:val="footer"/>
    <w:basedOn w:val="Normal"/>
    <w:link w:val="PiedepginaCar"/>
    <w:uiPriority w:val="99"/>
    <w:rsid w:val="00F30EFE"/>
    <w:pPr>
      <w:tabs>
        <w:tab w:val="center" w:pos="4419"/>
        <w:tab w:val="right" w:pos="8838"/>
      </w:tabs>
    </w:pPr>
  </w:style>
  <w:style w:type="character" w:customStyle="1" w:styleId="PiedepginaCar">
    <w:name w:val="Pie de página Car"/>
    <w:basedOn w:val="Fuentedeprrafopredeter"/>
    <w:link w:val="Piedepgina"/>
    <w:uiPriority w:val="99"/>
    <w:rsid w:val="00F30EFE"/>
    <w:rPr>
      <w:rFonts w:ascii="Arial" w:hAnsi="Arial"/>
      <w:sz w:val="24"/>
      <w:szCs w:val="24"/>
      <w:lang w:val="es-ES" w:eastAsia="es-ES"/>
    </w:rPr>
  </w:style>
  <w:style w:type="paragraph" w:styleId="Prrafodelista">
    <w:name w:val="List Paragraph"/>
    <w:basedOn w:val="Normal"/>
    <w:uiPriority w:val="34"/>
    <w:qFormat/>
    <w:rsid w:val="00A04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82435">
      <w:bodyDiv w:val="1"/>
      <w:marLeft w:val="0"/>
      <w:marRight w:val="0"/>
      <w:marTop w:val="0"/>
      <w:marBottom w:val="0"/>
      <w:divBdr>
        <w:top w:val="none" w:sz="0" w:space="0" w:color="auto"/>
        <w:left w:val="none" w:sz="0" w:space="0" w:color="auto"/>
        <w:bottom w:val="none" w:sz="0" w:space="0" w:color="auto"/>
        <w:right w:val="none" w:sz="0" w:space="0" w:color="auto"/>
      </w:divBdr>
    </w:div>
    <w:div w:id="314454253">
      <w:bodyDiv w:val="1"/>
      <w:marLeft w:val="0"/>
      <w:marRight w:val="0"/>
      <w:marTop w:val="0"/>
      <w:marBottom w:val="0"/>
      <w:divBdr>
        <w:top w:val="none" w:sz="0" w:space="0" w:color="auto"/>
        <w:left w:val="none" w:sz="0" w:space="0" w:color="auto"/>
        <w:bottom w:val="none" w:sz="0" w:space="0" w:color="auto"/>
        <w:right w:val="none" w:sz="0" w:space="0" w:color="auto"/>
      </w:divBdr>
    </w:div>
    <w:div w:id="622735494">
      <w:bodyDiv w:val="1"/>
      <w:marLeft w:val="0"/>
      <w:marRight w:val="0"/>
      <w:marTop w:val="0"/>
      <w:marBottom w:val="0"/>
      <w:divBdr>
        <w:top w:val="none" w:sz="0" w:space="0" w:color="auto"/>
        <w:left w:val="none" w:sz="0" w:space="0" w:color="auto"/>
        <w:bottom w:val="none" w:sz="0" w:space="0" w:color="auto"/>
        <w:right w:val="none" w:sz="0" w:space="0" w:color="auto"/>
      </w:divBdr>
    </w:div>
    <w:div w:id="785125740">
      <w:bodyDiv w:val="1"/>
      <w:marLeft w:val="0"/>
      <w:marRight w:val="0"/>
      <w:marTop w:val="0"/>
      <w:marBottom w:val="0"/>
      <w:divBdr>
        <w:top w:val="none" w:sz="0" w:space="0" w:color="auto"/>
        <w:left w:val="none" w:sz="0" w:space="0" w:color="auto"/>
        <w:bottom w:val="none" w:sz="0" w:space="0" w:color="auto"/>
        <w:right w:val="none" w:sz="0" w:space="0" w:color="auto"/>
      </w:divBdr>
    </w:div>
    <w:div w:id="164989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62467-C559-496C-B13C-F72EB9381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766</Words>
  <Characters>4213</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INEE</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amejia</dc:creator>
  <cp:keywords/>
  <cp:lastModifiedBy>NAA</cp:lastModifiedBy>
  <cp:revision>5</cp:revision>
  <cp:lastPrinted>2016-03-07T14:48:00Z</cp:lastPrinted>
  <dcterms:created xsi:type="dcterms:W3CDTF">2019-04-04T19:14:00Z</dcterms:created>
  <dcterms:modified xsi:type="dcterms:W3CDTF">2019-04-05T16:05:00Z</dcterms:modified>
</cp:coreProperties>
</file>