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C4051C" w14:textId="77777777" w:rsidR="001534A5" w:rsidRDefault="00DA0ABE" w:rsidP="00C60270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604983" wp14:editId="54F10779">
                <wp:simplePos x="0" y="0"/>
                <wp:positionH relativeFrom="column">
                  <wp:posOffset>46800</wp:posOffset>
                </wp:positionH>
                <wp:positionV relativeFrom="paragraph">
                  <wp:posOffset>-54610</wp:posOffset>
                </wp:positionV>
                <wp:extent cx="685800" cy="234950"/>
                <wp:effectExtent l="0" t="0" r="190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A38C23" w14:textId="77777777" w:rsidR="007D4964" w:rsidRPr="004842FF" w:rsidRDefault="007D4964" w:rsidP="000A149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842FF">
                              <w:rPr>
                                <w:b/>
                                <w:sz w:val="20"/>
                                <w:szCs w:val="20"/>
                              </w:rPr>
                              <w:t>CS01a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604983" id="AutoShape 2" o:spid="_x0000_s1026" style="position:absolute;margin-left:3.7pt;margin-top:-4.3pt;width:54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">
                <v:textbox inset="0,0,0,0">
                  <w:txbxContent>
                    <w:p w14:paraId="16A38C23" w14:textId="77777777" w:rsidR="007D4964" w:rsidRPr="004842FF" w:rsidRDefault="007D4964" w:rsidP="000A149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842FF">
                        <w:rPr>
                          <w:b/>
                          <w:sz w:val="20"/>
                          <w:szCs w:val="20"/>
                        </w:rPr>
                        <w:t>CS01a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1534A5" w:rsidRPr="00D804F7" w14:paraId="3C5B4332" w14:textId="77777777" w:rsidTr="00475B82">
        <w:trPr>
          <w:trHeight w:val="563"/>
          <w:jc w:val="center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4BAC5" w14:textId="77777777" w:rsidR="001534A5" w:rsidRDefault="001534A5" w:rsidP="00D93361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1F7DE8DE" w14:textId="3759EAEF" w:rsidR="001534A5" w:rsidRPr="00653EC2" w:rsidRDefault="001534A5" w:rsidP="00B53E01">
            <w:pPr>
              <w:rPr>
                <w:rFonts w:cs="Arial"/>
                <w:sz w:val="16"/>
                <w:szCs w:val="16"/>
              </w:rPr>
            </w:pPr>
            <w:r w:rsidRPr="00653EC2">
              <w:rPr>
                <w:rFonts w:cs="Arial"/>
                <w:sz w:val="16"/>
                <w:szCs w:val="16"/>
              </w:rPr>
              <w:t xml:space="preserve">Porcentaje de </w:t>
            </w:r>
            <w:r w:rsidRPr="00D906E3">
              <w:rPr>
                <w:rFonts w:cs="Arial"/>
                <w:sz w:val="16"/>
                <w:szCs w:val="16"/>
              </w:rPr>
              <w:t>población según</w:t>
            </w:r>
            <w:r w:rsidR="00147B08" w:rsidRPr="00D906E3">
              <w:rPr>
                <w:rFonts w:cs="Arial"/>
                <w:sz w:val="16"/>
                <w:szCs w:val="16"/>
              </w:rPr>
              <w:t xml:space="preserve"> edad</w:t>
            </w:r>
            <w:r w:rsidR="00147B08">
              <w:rPr>
                <w:rFonts w:cs="Arial"/>
                <w:sz w:val="16"/>
                <w:szCs w:val="16"/>
              </w:rPr>
              <w:t xml:space="preserve"> </w:t>
            </w:r>
            <w:r w:rsidR="00B53E01">
              <w:rPr>
                <w:rFonts w:cs="Arial"/>
                <w:sz w:val="16"/>
                <w:szCs w:val="16"/>
              </w:rPr>
              <w:t xml:space="preserve">idónea </w:t>
            </w:r>
            <w:r w:rsidR="00147B08">
              <w:rPr>
                <w:rFonts w:cs="Arial"/>
                <w:sz w:val="16"/>
                <w:szCs w:val="16"/>
              </w:rPr>
              <w:t xml:space="preserve">para </w:t>
            </w:r>
            <w:r w:rsidR="00C97E0B">
              <w:rPr>
                <w:rFonts w:cs="Arial"/>
                <w:sz w:val="16"/>
                <w:szCs w:val="16"/>
              </w:rPr>
              <w:t xml:space="preserve">cursar </w:t>
            </w:r>
            <w:r w:rsidR="00AF6F4F">
              <w:rPr>
                <w:rFonts w:cs="Arial"/>
                <w:sz w:val="16"/>
                <w:szCs w:val="16"/>
              </w:rPr>
              <w:t xml:space="preserve">la </w:t>
            </w:r>
            <w:r w:rsidR="00147B08">
              <w:rPr>
                <w:rFonts w:cs="Arial"/>
                <w:sz w:val="16"/>
                <w:szCs w:val="16"/>
              </w:rPr>
              <w:t>educación</w:t>
            </w:r>
            <w:r w:rsidR="006774BE">
              <w:rPr>
                <w:rFonts w:cs="Arial"/>
                <w:sz w:val="16"/>
                <w:szCs w:val="16"/>
              </w:rPr>
              <w:t xml:space="preserve"> básica y</w:t>
            </w:r>
            <w:r w:rsidR="00147B08">
              <w:rPr>
                <w:rFonts w:cs="Arial"/>
                <w:sz w:val="16"/>
                <w:szCs w:val="16"/>
              </w:rPr>
              <w:t xml:space="preserve"> </w:t>
            </w:r>
            <w:r w:rsidRPr="00653EC2">
              <w:rPr>
                <w:rFonts w:cs="Arial"/>
                <w:sz w:val="16"/>
                <w:szCs w:val="16"/>
              </w:rPr>
              <w:t>media superior</w:t>
            </w:r>
          </w:p>
        </w:tc>
      </w:tr>
      <w:tr w:rsidR="001534A5" w:rsidRPr="00D804F7" w14:paraId="2FA7548A" w14:textId="77777777" w:rsidTr="00475B82">
        <w:trPr>
          <w:trHeight w:val="1010"/>
          <w:jc w:val="center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B7FF" w14:textId="77777777" w:rsidR="00DF301D" w:rsidRDefault="001534A5" w:rsidP="005658D6">
            <w:pPr>
              <w:tabs>
                <w:tab w:val="left" w:pos="0"/>
              </w:tabs>
              <w:ind w:right="110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Definició</w:t>
            </w:r>
            <w:r w:rsidR="00DF301D">
              <w:rPr>
                <w:rFonts w:cs="Arial"/>
                <w:b/>
                <w:sz w:val="16"/>
                <w:szCs w:val="16"/>
              </w:rPr>
              <w:t>n</w:t>
            </w:r>
          </w:p>
          <w:p w14:paraId="38F87B84" w14:textId="08020064" w:rsidR="001534A5" w:rsidRPr="00F713A4" w:rsidRDefault="00DF301D" w:rsidP="008B16AA">
            <w:pPr>
              <w:tabs>
                <w:tab w:val="left" w:pos="0"/>
              </w:tabs>
              <w:ind w:right="110"/>
              <w:jc w:val="both"/>
              <w:rPr>
                <w:rFonts w:cs="Arial"/>
                <w:sz w:val="16"/>
                <w:szCs w:val="16"/>
              </w:rPr>
            </w:pPr>
            <w:r w:rsidRPr="00DF301D">
              <w:rPr>
                <w:rFonts w:cs="Arial"/>
                <w:sz w:val="16"/>
                <w:szCs w:val="16"/>
              </w:rPr>
              <w:t>Es</w:t>
            </w:r>
            <w:r w:rsidR="00A95B78">
              <w:rPr>
                <w:rFonts w:cs="Arial"/>
                <w:sz w:val="16"/>
                <w:szCs w:val="16"/>
              </w:rPr>
              <w:t xml:space="preserve"> </w:t>
            </w:r>
            <w:r w:rsidR="00FF1789">
              <w:rPr>
                <w:rFonts w:cs="Arial"/>
                <w:sz w:val="16"/>
                <w:szCs w:val="16"/>
              </w:rPr>
              <w:t xml:space="preserve">el número 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de personas pertenecientes al grupo de edad </w:t>
            </w:r>
            <w:r w:rsidR="001534A5">
              <w:rPr>
                <w:rFonts w:cs="Arial"/>
                <w:sz w:val="16"/>
                <w:szCs w:val="16"/>
              </w:rPr>
              <w:t xml:space="preserve">escolar 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que idealmente estaría cursando </w:t>
            </w:r>
            <w:r w:rsidR="001D6E9D">
              <w:rPr>
                <w:rFonts w:cs="Arial"/>
                <w:sz w:val="16"/>
                <w:szCs w:val="16"/>
              </w:rPr>
              <w:t>la educación básica (</w:t>
            </w:r>
            <w:r w:rsidR="00B06931">
              <w:rPr>
                <w:rFonts w:cs="Arial"/>
                <w:sz w:val="16"/>
                <w:szCs w:val="16"/>
              </w:rPr>
              <w:t xml:space="preserve">de </w:t>
            </w:r>
            <w:r w:rsidR="001D6E9D">
              <w:rPr>
                <w:rFonts w:cs="Arial"/>
                <w:sz w:val="16"/>
                <w:szCs w:val="16"/>
              </w:rPr>
              <w:t>3 a 5 añ</w:t>
            </w:r>
            <w:r w:rsidR="008C0F29">
              <w:rPr>
                <w:rFonts w:cs="Arial"/>
                <w:sz w:val="16"/>
                <w:szCs w:val="16"/>
              </w:rPr>
              <w:t xml:space="preserve">os </w:t>
            </w:r>
            <w:r w:rsidR="00B06931">
              <w:rPr>
                <w:rFonts w:cs="Arial"/>
                <w:sz w:val="16"/>
                <w:szCs w:val="16"/>
              </w:rPr>
              <w:t xml:space="preserve">en educación </w:t>
            </w:r>
            <w:r w:rsidR="008C0F29">
              <w:rPr>
                <w:rFonts w:cs="Arial"/>
                <w:sz w:val="16"/>
                <w:szCs w:val="16"/>
              </w:rPr>
              <w:t xml:space="preserve">preescolar, </w:t>
            </w:r>
            <w:r w:rsidR="00B06931">
              <w:rPr>
                <w:rFonts w:cs="Arial"/>
                <w:sz w:val="16"/>
                <w:szCs w:val="16"/>
              </w:rPr>
              <w:t xml:space="preserve">de </w:t>
            </w:r>
            <w:r w:rsidR="008C0F29">
              <w:rPr>
                <w:rFonts w:cs="Arial"/>
                <w:sz w:val="16"/>
                <w:szCs w:val="16"/>
              </w:rPr>
              <w:t xml:space="preserve">6 a 11 </w:t>
            </w:r>
            <w:r w:rsidR="00B06931">
              <w:rPr>
                <w:rFonts w:cs="Arial"/>
                <w:sz w:val="16"/>
                <w:szCs w:val="16"/>
              </w:rPr>
              <w:t xml:space="preserve">años en educación </w:t>
            </w:r>
            <w:r w:rsidR="008C0F29">
              <w:rPr>
                <w:rFonts w:cs="Arial"/>
                <w:sz w:val="16"/>
                <w:szCs w:val="16"/>
              </w:rPr>
              <w:t>primaria y</w:t>
            </w:r>
            <w:r w:rsidR="001D6E9D">
              <w:rPr>
                <w:rFonts w:cs="Arial"/>
                <w:sz w:val="16"/>
                <w:szCs w:val="16"/>
              </w:rPr>
              <w:t xml:space="preserve"> </w:t>
            </w:r>
            <w:r w:rsidR="0023526D">
              <w:rPr>
                <w:rFonts w:cs="Arial"/>
                <w:sz w:val="16"/>
                <w:szCs w:val="16"/>
              </w:rPr>
              <w:t xml:space="preserve">de </w:t>
            </w:r>
            <w:r w:rsidR="001D6E9D">
              <w:rPr>
                <w:rFonts w:cs="Arial"/>
                <w:sz w:val="16"/>
                <w:szCs w:val="16"/>
              </w:rPr>
              <w:t xml:space="preserve">12 a 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14 </w:t>
            </w:r>
            <w:r w:rsidR="00B06931">
              <w:rPr>
                <w:rFonts w:cs="Arial"/>
                <w:sz w:val="16"/>
                <w:szCs w:val="16"/>
              </w:rPr>
              <w:t xml:space="preserve">años en educación </w:t>
            </w:r>
            <w:r w:rsidR="001534A5" w:rsidRPr="003D6102">
              <w:rPr>
                <w:rFonts w:cs="Arial"/>
                <w:sz w:val="16"/>
                <w:szCs w:val="16"/>
              </w:rPr>
              <w:t>secundaria</w:t>
            </w:r>
            <w:r w:rsidR="008C0F29">
              <w:rPr>
                <w:rFonts w:cs="Arial"/>
                <w:sz w:val="16"/>
                <w:szCs w:val="16"/>
              </w:rPr>
              <w:t>) o</w:t>
            </w:r>
            <w:r w:rsidR="00B06931">
              <w:rPr>
                <w:rFonts w:cs="Arial"/>
                <w:sz w:val="16"/>
                <w:szCs w:val="16"/>
              </w:rPr>
              <w:t xml:space="preserve"> </w:t>
            </w:r>
            <w:r w:rsidR="0002694E">
              <w:rPr>
                <w:rFonts w:cs="Arial"/>
                <w:sz w:val="16"/>
                <w:szCs w:val="16"/>
              </w:rPr>
              <w:t xml:space="preserve">la educación </w:t>
            </w:r>
            <w:r w:rsidR="008C0F29">
              <w:rPr>
                <w:rFonts w:cs="Arial"/>
                <w:sz w:val="16"/>
                <w:szCs w:val="16"/>
              </w:rPr>
              <w:t>media superior (15 a 17 años</w:t>
            </w:r>
            <w:r w:rsidR="001534A5" w:rsidRPr="003D6102">
              <w:rPr>
                <w:rFonts w:cs="Arial"/>
                <w:sz w:val="16"/>
                <w:szCs w:val="16"/>
              </w:rPr>
              <w:t>)</w:t>
            </w:r>
            <w:r w:rsidR="007578C0">
              <w:rPr>
                <w:rFonts w:cs="Arial"/>
                <w:sz w:val="16"/>
                <w:szCs w:val="16"/>
              </w:rPr>
              <w:t xml:space="preserve"> </w:t>
            </w:r>
            <w:r w:rsidR="004F1AA0">
              <w:rPr>
                <w:rFonts w:cs="Arial"/>
                <w:sz w:val="16"/>
                <w:szCs w:val="16"/>
              </w:rPr>
              <w:t xml:space="preserve">por cada </w:t>
            </w:r>
            <w:r w:rsidR="008B16AA">
              <w:rPr>
                <w:rFonts w:cs="Arial"/>
                <w:sz w:val="16"/>
                <w:szCs w:val="16"/>
              </w:rPr>
              <w:t>cien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 individuos</w:t>
            </w:r>
            <w:r w:rsidR="001534A5">
              <w:rPr>
                <w:rFonts w:cs="Arial"/>
                <w:sz w:val="16"/>
                <w:szCs w:val="16"/>
              </w:rPr>
              <w:t xml:space="preserve"> </w:t>
            </w:r>
            <w:r w:rsidR="00C74343">
              <w:rPr>
                <w:rFonts w:cs="Arial"/>
                <w:sz w:val="16"/>
                <w:szCs w:val="16"/>
              </w:rPr>
              <w:t>respecto a la población total</w:t>
            </w:r>
            <w:r w:rsidR="001534A5" w:rsidRPr="00DF301D">
              <w:rPr>
                <w:rFonts w:cs="Arial"/>
                <w:sz w:val="16"/>
                <w:szCs w:val="16"/>
              </w:rPr>
              <w:t>.</w:t>
            </w:r>
          </w:p>
        </w:tc>
      </w:tr>
      <w:tr w:rsidR="001534A5" w:rsidRPr="00D804F7" w14:paraId="77A68474" w14:textId="77777777" w:rsidTr="00475B82">
        <w:trPr>
          <w:trHeight w:val="1530"/>
          <w:jc w:val="center"/>
        </w:trPr>
        <w:tc>
          <w:tcPr>
            <w:tcW w:w="9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16306F4" w14:textId="77777777" w:rsidR="00893DD7" w:rsidRDefault="00D70501" w:rsidP="00D93361">
            <w:pPr>
              <w:spacing w:before="120"/>
              <w:ind w:right="-68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Fórmula</w:t>
            </w:r>
            <w:r w:rsidR="001534A5">
              <w:rPr>
                <w:rFonts w:cs="Arial"/>
                <w:b/>
                <w:sz w:val="16"/>
                <w:szCs w:val="16"/>
              </w:rPr>
              <w:t xml:space="preserve"> de cálculo</w:t>
            </w:r>
          </w:p>
          <w:p w14:paraId="0F0E89CC" w14:textId="77777777" w:rsidR="001534A5" w:rsidRPr="00A32AA5" w:rsidRDefault="009C192B" w:rsidP="00D93361">
            <w:pPr>
              <w:spacing w:before="120"/>
              <w:ind w:right="-68"/>
              <w:rPr>
                <w:rFonts w:cs="Arial"/>
                <w:i/>
                <w:sz w:val="20"/>
                <w:szCs w:val="20"/>
                <w:lang w:val="es-MX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  <w:lang w:val="es-MX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  <w:lang w:val="es-MX"/>
                          </w:rPr>
                          <m:t>ge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  <w:lang w:val="es-MX"/>
                          </w:rPr>
                          <m:t>t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  <w:lang w:val="es-MX"/>
                          </w:rPr>
                          <m:t>P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cs="Arial"/>
                            <w:i/>
                            <w:sz w:val="20"/>
                            <w:szCs w:val="20"/>
                            <w:lang w:val="es-MX"/>
                          </w:rPr>
                          <m:t>t</m:t>
                        </m:r>
                      </m:sup>
                    </m:sSup>
                  </m:den>
                </m:f>
                <m:r>
                  <m:rPr>
                    <m:nor/>
                  </m:rPr>
                  <w:rPr>
                    <w:rFonts w:cs="Arial"/>
                    <w:i/>
                    <w:sz w:val="20"/>
                    <w:szCs w:val="20"/>
                    <w:lang w:val="es-MX"/>
                  </w:rPr>
                  <m:t>x100</m:t>
                </m:r>
              </m:oMath>
            </m:oMathPara>
          </w:p>
          <w:tbl>
            <w:tblPr>
              <w:tblpPr w:leftFromText="141" w:rightFromText="141" w:vertAnchor="text" w:horzAnchor="page" w:tblpXSpec="center" w:tblpY="73"/>
              <w:tblOverlap w:val="never"/>
              <w:tblW w:w="4904" w:type="pct"/>
              <w:tblLayout w:type="fixed"/>
              <w:tblLook w:val="01E0" w:firstRow="1" w:lastRow="1" w:firstColumn="1" w:lastColumn="1" w:noHBand="0" w:noVBand="0"/>
            </w:tblPr>
            <w:tblGrid>
              <w:gridCol w:w="1369"/>
              <w:gridCol w:w="7566"/>
            </w:tblGrid>
            <w:tr w:rsidR="002D65FA" w:rsidRPr="004550C5" w14:paraId="7389E642" w14:textId="77777777" w:rsidTr="002D65FA">
              <w:trPr>
                <w:trHeight w:val="132"/>
              </w:trPr>
              <w:tc>
                <w:tcPr>
                  <w:tcW w:w="766" w:type="pct"/>
                </w:tcPr>
                <w:p w14:paraId="3BC911B4" w14:textId="77777777" w:rsidR="002D65FA" w:rsidRPr="009A30FD" w:rsidRDefault="002D65FA" w:rsidP="002D65FA">
                  <w:pPr>
                    <w:ind w:right="-68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9A30FD">
                    <w:rPr>
                      <w:rFonts w:cs="Arial"/>
                      <w:i/>
                      <w:sz w:val="16"/>
                      <w:szCs w:val="16"/>
                    </w:rPr>
                    <w:t>t</w:t>
                  </w:r>
                </w:p>
              </w:tc>
              <w:tc>
                <w:tcPr>
                  <w:tcW w:w="4234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BB901E1" w14:textId="77777777" w:rsidR="002D65FA" w:rsidRPr="004550C5" w:rsidRDefault="002D65FA" w:rsidP="002D65FA">
                  <w:pPr>
                    <w:ind w:right="-68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Año de referencia.</w:t>
                  </w:r>
                </w:p>
              </w:tc>
            </w:tr>
            <w:tr w:rsidR="002D65FA" w:rsidRPr="004550C5" w14:paraId="002A9DDC" w14:textId="77777777" w:rsidTr="002D65FA">
              <w:trPr>
                <w:trHeight w:val="50"/>
              </w:trPr>
              <w:tc>
                <w:tcPr>
                  <w:tcW w:w="766" w:type="pct"/>
                  <w:vAlign w:val="center"/>
                </w:tcPr>
                <w:p w14:paraId="0C5363CC" w14:textId="77777777" w:rsidR="002D65FA" w:rsidRPr="009A30FD" w:rsidRDefault="002D65FA" w:rsidP="002D65FA">
                  <w:pPr>
                    <w:ind w:right="-68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  <w:r w:rsidRPr="009A30FD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4234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6283949" w14:textId="4FD5B9EB" w:rsidR="002D65FA" w:rsidRPr="004550C5" w:rsidRDefault="002D65FA" w:rsidP="00364F70">
                  <w:pPr>
                    <w:ind w:right="-68"/>
                    <w:rPr>
                      <w:rFonts w:cs="Arial"/>
                      <w:sz w:val="16"/>
                      <w:szCs w:val="16"/>
                    </w:rPr>
                  </w:pPr>
                  <w:r w:rsidRPr="004550C5">
                    <w:rPr>
                      <w:rFonts w:cs="Arial"/>
                      <w:sz w:val="16"/>
                      <w:szCs w:val="16"/>
                    </w:rPr>
                    <w:t xml:space="preserve">Grupo de edad </w:t>
                  </w:r>
                  <w:r>
                    <w:rPr>
                      <w:rFonts w:cs="Arial"/>
                      <w:sz w:val="16"/>
                      <w:szCs w:val="16"/>
                    </w:rPr>
                    <w:t>escolar</w:t>
                  </w:r>
                  <w:r w:rsidR="00415B1F">
                    <w:rPr>
                      <w:rFonts w:cs="Arial"/>
                      <w:sz w:val="16"/>
                      <w:szCs w:val="16"/>
                    </w:rPr>
                    <w:t xml:space="preserve">: 0 a </w:t>
                  </w:r>
                  <w:r w:rsidRPr="004550C5">
                    <w:rPr>
                      <w:rFonts w:cs="Arial"/>
                      <w:sz w:val="16"/>
                      <w:szCs w:val="16"/>
                    </w:rPr>
                    <w:t>2 (inicial)</w:t>
                  </w:r>
                  <w:r w:rsidR="00364F70" w:rsidRPr="00114884">
                    <w:rPr>
                      <w:rFonts w:cs="Arial"/>
                      <w:sz w:val="16"/>
                      <w:szCs w:val="16"/>
                    </w:rPr>
                    <w:t>,</w:t>
                  </w:r>
                  <w:r w:rsidRPr="00114884">
                    <w:rPr>
                      <w:rFonts w:cs="Arial"/>
                      <w:sz w:val="16"/>
                      <w:szCs w:val="16"/>
                      <w:vertAlign w:val="superscript"/>
                    </w:rPr>
                    <w:t>1</w:t>
                  </w:r>
                  <w:r w:rsidR="00415B1F">
                    <w:rPr>
                      <w:rFonts w:cs="Arial"/>
                      <w:sz w:val="16"/>
                      <w:szCs w:val="16"/>
                    </w:rPr>
                    <w:t xml:space="preserve"> 3 a 5 (preescolar), 6 a 11 (primaria), 12 a 14 (secundaria), 15 a </w:t>
                  </w:r>
                  <w:r w:rsidRPr="004550C5">
                    <w:rPr>
                      <w:rFonts w:cs="Arial"/>
                      <w:sz w:val="16"/>
                      <w:szCs w:val="16"/>
                    </w:rPr>
                    <w:t>17 (media superior)</w:t>
                  </w:r>
                  <w:r w:rsidRPr="004550C5">
                    <w:rPr>
                      <w:rFonts w:cs="Tahoma"/>
                      <w:sz w:val="16"/>
                      <w:szCs w:val="16"/>
                    </w:rPr>
                    <w:t>.</w:t>
                  </w:r>
                </w:p>
              </w:tc>
            </w:tr>
            <w:tr w:rsidR="002D65FA" w:rsidRPr="004550C5" w14:paraId="6E35FD17" w14:textId="77777777" w:rsidTr="002D65FA">
              <w:trPr>
                <w:trHeight w:val="288"/>
              </w:trPr>
              <w:tc>
                <w:tcPr>
                  <w:tcW w:w="766" w:type="pct"/>
                </w:tcPr>
                <w:p w14:paraId="7DF6A99B" w14:textId="77777777" w:rsidR="002D65FA" w:rsidRPr="007C24D3" w:rsidRDefault="009C192B" w:rsidP="002D65FA">
                  <w:pPr>
                    <w:ind w:right="-68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sz w:val="20"/>
                              <w:szCs w:val="20"/>
                              <w:lang w:val="de-DE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sz w:val="20"/>
                              <w:szCs w:val="20"/>
                              <w:lang w:val="de-DE"/>
                            </w:rPr>
                            <m:t>ge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sz w:val="20"/>
                              <w:szCs w:val="20"/>
                              <w:lang w:val="de-DE"/>
                            </w:rPr>
                            <m:t>t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4234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AD59159" w14:textId="77777777" w:rsidR="002D65FA" w:rsidRPr="004550C5" w:rsidRDefault="002D65FA" w:rsidP="005658D6">
                  <w:pPr>
                    <w:ind w:right="-68"/>
                    <w:rPr>
                      <w:rFonts w:cs="Arial"/>
                      <w:sz w:val="16"/>
                      <w:szCs w:val="16"/>
                    </w:rPr>
                  </w:pPr>
                  <w:r w:rsidRPr="004550C5">
                    <w:rPr>
                      <w:rFonts w:cs="Arial"/>
                      <w:sz w:val="16"/>
                      <w:szCs w:val="16"/>
                    </w:rPr>
                    <w:t xml:space="preserve">Población en el grupo de edad escolar </w:t>
                  </w:r>
                  <w:r w:rsidRPr="004550C5">
                    <w:rPr>
                      <w:rFonts w:cs="Arial"/>
                      <w:i/>
                      <w:sz w:val="16"/>
                      <w:szCs w:val="16"/>
                    </w:rPr>
                    <w:t>ge</w:t>
                  </w:r>
                  <w:r w:rsidR="008B077B">
                    <w:rPr>
                      <w:rFonts w:cs="Arial"/>
                      <w:i/>
                      <w:sz w:val="16"/>
                      <w:szCs w:val="16"/>
                    </w:rPr>
                    <w:t>.</w:t>
                  </w:r>
                </w:p>
              </w:tc>
            </w:tr>
            <w:tr w:rsidR="002D65FA" w:rsidRPr="004550C5" w14:paraId="588FAD99" w14:textId="77777777" w:rsidTr="002D65FA">
              <w:trPr>
                <w:trHeight w:val="413"/>
              </w:trPr>
              <w:tc>
                <w:tcPr>
                  <w:tcW w:w="766" w:type="pct"/>
                </w:tcPr>
                <w:p w14:paraId="283B3BA4" w14:textId="77777777" w:rsidR="002D65FA" w:rsidRPr="007C24D3" w:rsidRDefault="009C192B" w:rsidP="002D65FA">
                  <w:pPr>
                    <w:ind w:right="-68"/>
                    <w:jc w:val="center"/>
                    <w:rPr>
                      <w:rFonts w:cs="Arial"/>
                      <w:b/>
                      <w:i/>
                      <w:sz w:val="16"/>
                      <w:szCs w:val="16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sz w:val="20"/>
                              <w:szCs w:val="20"/>
                              <w:lang w:val="de-DE"/>
                            </w:rPr>
                            <m:t>P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rFonts w:cs="Arial"/>
                              <w:i/>
                              <w:sz w:val="20"/>
                              <w:szCs w:val="20"/>
                              <w:lang w:val="de-DE"/>
                            </w:rPr>
                            <m:t>t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4234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36BC5CB" w14:textId="77777777" w:rsidR="002D65FA" w:rsidRPr="004550C5" w:rsidRDefault="002D65FA" w:rsidP="002D65FA">
                  <w:pPr>
                    <w:ind w:right="-68"/>
                    <w:rPr>
                      <w:rFonts w:cs="Arial"/>
                      <w:sz w:val="16"/>
                      <w:szCs w:val="16"/>
                    </w:rPr>
                  </w:pPr>
                  <w:r w:rsidRPr="004550C5">
                    <w:rPr>
                      <w:rFonts w:cs="Arial"/>
                      <w:sz w:val="16"/>
                      <w:szCs w:val="16"/>
                    </w:rPr>
                    <w:t xml:space="preserve">Población total estimada a mitad del año </w:t>
                  </w:r>
                  <w:r w:rsidRPr="004550C5">
                    <w:rPr>
                      <w:rFonts w:cs="Arial"/>
                      <w:i/>
                      <w:sz w:val="16"/>
                      <w:szCs w:val="16"/>
                    </w:rPr>
                    <w:t>t</w:t>
                  </w:r>
                  <w:r w:rsidRPr="004550C5">
                    <w:rPr>
                      <w:rFonts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1B03B0E8" w14:textId="77777777" w:rsidR="001534A5" w:rsidRPr="008D4A7D" w:rsidRDefault="001534A5" w:rsidP="00D93361">
            <w:pPr>
              <w:rPr>
                <w:rFonts w:cs="Arial"/>
                <w:b/>
                <w:sz w:val="6"/>
                <w:szCs w:val="6"/>
              </w:rPr>
            </w:pPr>
          </w:p>
        </w:tc>
      </w:tr>
      <w:tr w:rsidR="001534A5" w:rsidRPr="00D804F7" w14:paraId="512CAA64" w14:textId="77777777" w:rsidTr="00475B82">
        <w:trPr>
          <w:trHeight w:val="844"/>
          <w:jc w:val="center"/>
        </w:trPr>
        <w:tc>
          <w:tcPr>
            <w:tcW w:w="9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343D9E" w14:textId="77777777" w:rsidR="001534A5" w:rsidRPr="00D804F7" w:rsidRDefault="001534A5" w:rsidP="00D93361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1534A5" w:rsidRPr="0026312F" w14:paraId="72C2E4F9" w14:textId="77777777" w:rsidTr="00475B82">
        <w:trPr>
          <w:trHeight w:val="959"/>
          <w:jc w:val="center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</w:tcPr>
          <w:p w14:paraId="3991AFEC" w14:textId="77777777" w:rsidR="001534A5" w:rsidRPr="003D6102" w:rsidRDefault="001534A5" w:rsidP="00D93361">
            <w:pPr>
              <w:spacing w:before="120"/>
              <w:ind w:right="-68"/>
              <w:rPr>
                <w:rFonts w:cs="Arial"/>
                <w:b/>
                <w:sz w:val="16"/>
                <w:szCs w:val="16"/>
              </w:rPr>
            </w:pPr>
            <w:r w:rsidRPr="003D6102">
              <w:rPr>
                <w:rFonts w:cs="Arial"/>
                <w:b/>
                <w:sz w:val="16"/>
                <w:szCs w:val="16"/>
              </w:rPr>
              <w:t>Interpretación</w:t>
            </w:r>
          </w:p>
          <w:p w14:paraId="2516B24C" w14:textId="61C89974" w:rsidR="001534A5" w:rsidRPr="008B077B" w:rsidRDefault="0002694E" w:rsidP="001A263E">
            <w:pPr>
              <w:tabs>
                <w:tab w:val="left" w:pos="0"/>
              </w:tabs>
              <w:spacing w:after="120"/>
              <w:ind w:right="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 este indicador es posible r</w:t>
            </w:r>
            <w:r w:rsidR="001534A5" w:rsidRPr="003D6102">
              <w:rPr>
                <w:rFonts w:cs="Arial"/>
                <w:sz w:val="16"/>
                <w:szCs w:val="16"/>
              </w:rPr>
              <w:t>epresenta</w:t>
            </w:r>
            <w:r>
              <w:rPr>
                <w:rFonts w:cs="Arial"/>
                <w:sz w:val="16"/>
                <w:szCs w:val="16"/>
              </w:rPr>
              <w:t>r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 la estructura de la población en edad </w:t>
            </w:r>
            <w:r w:rsidR="00414382">
              <w:rPr>
                <w:rFonts w:cs="Arial"/>
                <w:sz w:val="16"/>
                <w:szCs w:val="16"/>
              </w:rPr>
              <w:t>de cursar la educación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 básica</w:t>
            </w:r>
            <w:r w:rsidR="006A387E">
              <w:rPr>
                <w:rFonts w:cs="Arial"/>
                <w:sz w:val="16"/>
                <w:szCs w:val="16"/>
              </w:rPr>
              <w:t xml:space="preserve"> y </w:t>
            </w:r>
            <w:r w:rsidR="001534A5">
              <w:rPr>
                <w:rFonts w:cs="Arial"/>
                <w:sz w:val="16"/>
                <w:szCs w:val="16"/>
              </w:rPr>
              <w:t>media superior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 correspondiente a una trayectoria educativa </w:t>
            </w:r>
            <w:r>
              <w:rPr>
                <w:rFonts w:cs="Arial"/>
                <w:sz w:val="16"/>
                <w:szCs w:val="16"/>
              </w:rPr>
              <w:t>ideal</w:t>
            </w:r>
            <w:r w:rsidR="00542FA7">
              <w:rPr>
                <w:rFonts w:cs="Arial"/>
                <w:sz w:val="16"/>
                <w:szCs w:val="16"/>
              </w:rPr>
              <w:t>, es decir,</w:t>
            </w:r>
            <w:r>
              <w:rPr>
                <w:rFonts w:cs="Arial"/>
                <w:sz w:val="16"/>
                <w:szCs w:val="16"/>
              </w:rPr>
              <w:t xml:space="preserve"> sin </w:t>
            </w:r>
            <w:r w:rsidR="001534A5" w:rsidRPr="003D6102">
              <w:rPr>
                <w:rFonts w:cs="Arial"/>
                <w:sz w:val="16"/>
                <w:szCs w:val="16"/>
              </w:rPr>
              <w:t>interru</w:t>
            </w:r>
            <w:r>
              <w:rPr>
                <w:rFonts w:cs="Arial"/>
                <w:sz w:val="16"/>
                <w:szCs w:val="16"/>
              </w:rPr>
              <w:t xml:space="preserve">pciones </w:t>
            </w:r>
            <w:r w:rsidR="00362975">
              <w:rPr>
                <w:rFonts w:cs="Arial"/>
                <w:sz w:val="16"/>
                <w:szCs w:val="16"/>
              </w:rPr>
              <w:t>desde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 </w:t>
            </w:r>
            <w:r w:rsidR="00362975">
              <w:rPr>
                <w:rFonts w:cs="Arial"/>
                <w:sz w:val="16"/>
                <w:szCs w:val="16"/>
              </w:rPr>
              <w:t>el ingreso a</w:t>
            </w:r>
            <w:r>
              <w:rPr>
                <w:rFonts w:cs="Arial"/>
                <w:sz w:val="16"/>
                <w:szCs w:val="16"/>
              </w:rPr>
              <w:t>l nivel de pre</w:t>
            </w:r>
            <w:r w:rsidR="00362975">
              <w:rPr>
                <w:rFonts w:cs="Arial"/>
                <w:sz w:val="16"/>
                <w:szCs w:val="16"/>
              </w:rPr>
              <w:t>escolar</w:t>
            </w:r>
            <w:r w:rsidR="001534A5">
              <w:rPr>
                <w:rFonts w:cs="Arial"/>
                <w:sz w:val="16"/>
                <w:szCs w:val="16"/>
              </w:rPr>
              <w:t xml:space="preserve"> </w:t>
            </w:r>
            <w:r w:rsidR="00362975">
              <w:rPr>
                <w:rFonts w:cs="Arial"/>
                <w:sz w:val="16"/>
                <w:szCs w:val="16"/>
              </w:rPr>
              <w:t>hasta</w:t>
            </w:r>
            <w:r w:rsidR="001534A5">
              <w:rPr>
                <w:rFonts w:cs="Arial"/>
                <w:sz w:val="16"/>
                <w:szCs w:val="16"/>
              </w:rPr>
              <w:t xml:space="preserve"> </w:t>
            </w:r>
            <w:r w:rsidR="001A263E">
              <w:rPr>
                <w:rFonts w:cs="Arial"/>
                <w:sz w:val="16"/>
                <w:szCs w:val="16"/>
              </w:rPr>
              <w:t>el egreso</w:t>
            </w:r>
            <w:r w:rsidR="00362975">
              <w:rPr>
                <w:rFonts w:cs="Arial"/>
                <w:sz w:val="16"/>
                <w:szCs w:val="16"/>
              </w:rPr>
              <w:t xml:space="preserve"> </w:t>
            </w:r>
            <w:r w:rsidR="006A387E">
              <w:rPr>
                <w:rFonts w:cs="Arial"/>
                <w:sz w:val="16"/>
                <w:szCs w:val="16"/>
              </w:rPr>
              <w:t xml:space="preserve">de educación </w:t>
            </w:r>
            <w:r w:rsidR="001534A5">
              <w:rPr>
                <w:rFonts w:cs="Arial"/>
                <w:sz w:val="16"/>
                <w:szCs w:val="16"/>
              </w:rPr>
              <w:t>media superior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. </w:t>
            </w:r>
            <w:r w:rsidR="00362975">
              <w:rPr>
                <w:rFonts w:cs="Arial"/>
                <w:sz w:val="16"/>
                <w:szCs w:val="16"/>
              </w:rPr>
              <w:t xml:space="preserve">Da una idea de </w:t>
            </w:r>
            <w:r w:rsidR="00362975" w:rsidRPr="003D6102">
              <w:rPr>
                <w:rFonts w:cs="Arial"/>
                <w:sz w:val="16"/>
                <w:szCs w:val="16"/>
              </w:rPr>
              <w:t xml:space="preserve">la presión relativa que ejerce la población </w:t>
            </w:r>
            <w:r w:rsidR="00362975">
              <w:rPr>
                <w:rFonts w:cs="Arial"/>
                <w:sz w:val="16"/>
                <w:szCs w:val="16"/>
              </w:rPr>
              <w:t xml:space="preserve">en edad </w:t>
            </w:r>
            <w:r w:rsidR="00362975" w:rsidRPr="003D6102">
              <w:rPr>
                <w:rFonts w:cs="Arial"/>
                <w:sz w:val="16"/>
                <w:szCs w:val="16"/>
              </w:rPr>
              <w:t xml:space="preserve">escolar sobre </w:t>
            </w:r>
            <w:r w:rsidR="00362975">
              <w:rPr>
                <w:rFonts w:cs="Arial"/>
                <w:sz w:val="16"/>
                <w:szCs w:val="16"/>
              </w:rPr>
              <w:t>los sistemas educativos de las</w:t>
            </w:r>
            <w:r w:rsidR="00362975" w:rsidRPr="003D6102">
              <w:rPr>
                <w:rFonts w:cs="Arial"/>
                <w:sz w:val="16"/>
                <w:szCs w:val="16"/>
              </w:rPr>
              <w:t xml:space="preserve"> </w:t>
            </w:r>
            <w:r w:rsidR="00362975">
              <w:rPr>
                <w:rFonts w:cs="Arial"/>
                <w:sz w:val="16"/>
                <w:szCs w:val="16"/>
              </w:rPr>
              <w:t>distintas</w:t>
            </w:r>
            <w:r w:rsidR="00362975" w:rsidRPr="003D6102">
              <w:rPr>
                <w:rFonts w:cs="Arial"/>
                <w:sz w:val="16"/>
                <w:szCs w:val="16"/>
              </w:rPr>
              <w:t xml:space="preserve"> entidades federativas. </w:t>
            </w:r>
            <w:r w:rsidR="001534A5" w:rsidRPr="003D6102">
              <w:rPr>
                <w:rFonts w:cs="Arial"/>
                <w:sz w:val="16"/>
                <w:szCs w:val="16"/>
              </w:rPr>
              <w:t xml:space="preserve">Los porcentajes indican </w:t>
            </w:r>
            <w:r w:rsidR="001534A5" w:rsidRPr="002A0432">
              <w:rPr>
                <w:rFonts w:cs="Arial"/>
                <w:sz w:val="16"/>
                <w:szCs w:val="16"/>
              </w:rPr>
              <w:t xml:space="preserve">la </w:t>
            </w:r>
            <w:r w:rsidR="00031997">
              <w:rPr>
                <w:rFonts w:cs="Arial"/>
                <w:sz w:val="16"/>
                <w:szCs w:val="16"/>
              </w:rPr>
              <w:t>presión</w:t>
            </w:r>
            <w:r w:rsidR="001534A5" w:rsidRPr="002A0432">
              <w:rPr>
                <w:rFonts w:cs="Arial"/>
                <w:sz w:val="16"/>
                <w:szCs w:val="16"/>
              </w:rPr>
              <w:t xml:space="preserve"> que </w:t>
            </w:r>
            <w:r w:rsidR="008B7431" w:rsidRPr="002A0432">
              <w:rPr>
                <w:rFonts w:cs="Arial"/>
                <w:sz w:val="16"/>
                <w:szCs w:val="16"/>
              </w:rPr>
              <w:t xml:space="preserve">ejercen </w:t>
            </w:r>
            <w:r w:rsidR="001534A5" w:rsidRPr="002A0432">
              <w:rPr>
                <w:rFonts w:cs="Arial"/>
                <w:sz w:val="16"/>
                <w:szCs w:val="16"/>
              </w:rPr>
              <w:t xml:space="preserve">los grupos poblacionales en edad escolar </w:t>
            </w:r>
            <w:r w:rsidR="00E8311A" w:rsidRPr="002A0432">
              <w:rPr>
                <w:rFonts w:cs="Arial"/>
                <w:sz w:val="16"/>
                <w:szCs w:val="16"/>
              </w:rPr>
              <w:t>idónea</w:t>
            </w:r>
            <w:r w:rsidR="008C0F29" w:rsidRPr="002A0432">
              <w:rPr>
                <w:rFonts w:cs="Arial"/>
                <w:sz w:val="16"/>
                <w:szCs w:val="16"/>
              </w:rPr>
              <w:t xml:space="preserve"> </w:t>
            </w:r>
            <w:r w:rsidR="001534A5" w:rsidRPr="002A0432">
              <w:rPr>
                <w:rFonts w:cs="Arial"/>
                <w:sz w:val="16"/>
                <w:szCs w:val="16"/>
              </w:rPr>
              <w:t xml:space="preserve">sobre </w:t>
            </w:r>
            <w:r w:rsidR="006A387E" w:rsidRPr="002A0432">
              <w:rPr>
                <w:rFonts w:cs="Arial"/>
                <w:sz w:val="16"/>
                <w:szCs w:val="16"/>
              </w:rPr>
              <w:t xml:space="preserve">la </w:t>
            </w:r>
            <w:r w:rsidR="001534A5" w:rsidRPr="002A0432">
              <w:rPr>
                <w:rFonts w:cs="Arial"/>
                <w:sz w:val="16"/>
                <w:szCs w:val="16"/>
              </w:rPr>
              <w:t>educación básica y media superior.</w:t>
            </w:r>
          </w:p>
        </w:tc>
      </w:tr>
      <w:tr w:rsidR="001534A5" w:rsidRPr="0026312F" w14:paraId="13C32207" w14:textId="77777777" w:rsidTr="00475B82">
        <w:trPr>
          <w:trHeight w:val="1100"/>
          <w:jc w:val="center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</w:tcPr>
          <w:p w14:paraId="39D71CB8" w14:textId="77777777" w:rsidR="001534A5" w:rsidRPr="003D6102" w:rsidRDefault="001534A5" w:rsidP="00D93361">
            <w:pPr>
              <w:spacing w:before="120"/>
              <w:ind w:right="-68"/>
              <w:rPr>
                <w:rFonts w:cs="Arial"/>
                <w:b/>
                <w:sz w:val="16"/>
                <w:szCs w:val="16"/>
              </w:rPr>
            </w:pPr>
            <w:r w:rsidRPr="003D6102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0C7586DA" w14:textId="2C0C4255" w:rsidR="001534A5" w:rsidRPr="003D6102" w:rsidRDefault="001534A5" w:rsidP="006A387E">
            <w:pPr>
              <w:jc w:val="both"/>
              <w:rPr>
                <w:rFonts w:cs="Arial"/>
                <w:sz w:val="16"/>
                <w:szCs w:val="16"/>
              </w:rPr>
            </w:pPr>
            <w:r w:rsidRPr="003D6102">
              <w:rPr>
                <w:rFonts w:cs="Arial"/>
                <w:sz w:val="16"/>
                <w:szCs w:val="16"/>
              </w:rPr>
              <w:t xml:space="preserve">Permite dimensionar la proporción de la población que está en la edad </w:t>
            </w:r>
            <w:r w:rsidR="00900F82">
              <w:rPr>
                <w:rFonts w:cs="Arial"/>
                <w:sz w:val="16"/>
                <w:szCs w:val="16"/>
              </w:rPr>
              <w:t>prevista</w:t>
            </w:r>
            <w:r w:rsidRPr="003D6102">
              <w:rPr>
                <w:rFonts w:cs="Arial"/>
                <w:sz w:val="16"/>
                <w:szCs w:val="16"/>
              </w:rPr>
              <w:t xml:space="preserve"> </w:t>
            </w:r>
            <w:r w:rsidR="00900F82">
              <w:rPr>
                <w:rFonts w:cs="Arial"/>
                <w:sz w:val="16"/>
                <w:szCs w:val="16"/>
              </w:rPr>
              <w:t>para</w:t>
            </w:r>
            <w:r w:rsidR="006A387E">
              <w:rPr>
                <w:rFonts w:cs="Arial"/>
                <w:sz w:val="16"/>
                <w:szCs w:val="16"/>
              </w:rPr>
              <w:t xml:space="preserve"> cursar la educación </w:t>
            </w:r>
            <w:r w:rsidRPr="003D6102">
              <w:rPr>
                <w:rFonts w:cs="Arial"/>
                <w:sz w:val="16"/>
                <w:szCs w:val="16"/>
              </w:rPr>
              <w:t>obligatoria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6A387E" w:rsidRPr="001A263E">
              <w:rPr>
                <w:rFonts w:cs="Arial"/>
                <w:sz w:val="16"/>
                <w:szCs w:val="16"/>
              </w:rPr>
              <w:t xml:space="preserve">(básica </w:t>
            </w:r>
            <w:r w:rsidRPr="001A263E">
              <w:rPr>
                <w:rFonts w:cs="Arial"/>
                <w:sz w:val="16"/>
                <w:szCs w:val="16"/>
              </w:rPr>
              <w:t>y</w:t>
            </w:r>
            <w:r w:rsidR="00900F82" w:rsidRPr="001A263E">
              <w:rPr>
                <w:rFonts w:cs="Arial"/>
                <w:sz w:val="16"/>
                <w:szCs w:val="16"/>
              </w:rPr>
              <w:t xml:space="preserve"> </w:t>
            </w:r>
            <w:r w:rsidRPr="001A263E">
              <w:rPr>
                <w:rFonts w:cs="Arial"/>
                <w:sz w:val="16"/>
                <w:szCs w:val="16"/>
              </w:rPr>
              <w:t>media superior</w:t>
            </w:r>
            <w:r w:rsidR="006A387E" w:rsidRPr="001A263E">
              <w:rPr>
                <w:rFonts w:cs="Arial"/>
                <w:sz w:val="16"/>
                <w:szCs w:val="16"/>
              </w:rPr>
              <w:t>)</w:t>
            </w:r>
            <w:r w:rsidR="006A387E">
              <w:rPr>
                <w:rFonts w:cs="Arial"/>
                <w:sz w:val="16"/>
                <w:szCs w:val="16"/>
              </w:rPr>
              <w:t xml:space="preserve">. </w:t>
            </w:r>
            <w:r w:rsidR="008B7431">
              <w:rPr>
                <w:rFonts w:cs="Arial"/>
                <w:sz w:val="16"/>
                <w:szCs w:val="16"/>
              </w:rPr>
              <w:t>Posibilita c</w:t>
            </w:r>
            <w:r w:rsidR="00CE19AB">
              <w:rPr>
                <w:rFonts w:cs="Arial"/>
                <w:sz w:val="16"/>
                <w:szCs w:val="16"/>
              </w:rPr>
              <w:t>onocer</w:t>
            </w:r>
            <w:r w:rsidRPr="003D6102">
              <w:rPr>
                <w:rFonts w:cs="Arial"/>
                <w:sz w:val="16"/>
                <w:szCs w:val="16"/>
              </w:rPr>
              <w:t xml:space="preserve"> </w:t>
            </w:r>
            <w:r w:rsidR="00CE19AB">
              <w:rPr>
                <w:rFonts w:cs="Arial"/>
                <w:sz w:val="16"/>
                <w:szCs w:val="16"/>
              </w:rPr>
              <w:t>los cambios de</w:t>
            </w:r>
            <w:r w:rsidRPr="003D6102">
              <w:rPr>
                <w:rFonts w:cs="Arial"/>
                <w:sz w:val="16"/>
                <w:szCs w:val="16"/>
              </w:rPr>
              <w:t xml:space="preserve"> la población en el tiempo, </w:t>
            </w:r>
            <w:r w:rsidR="00CE19AB">
              <w:rPr>
                <w:rFonts w:cs="Arial"/>
                <w:sz w:val="16"/>
                <w:szCs w:val="16"/>
              </w:rPr>
              <w:t>apoya</w:t>
            </w:r>
            <w:r w:rsidR="008B7431">
              <w:rPr>
                <w:rFonts w:cs="Arial"/>
                <w:sz w:val="16"/>
                <w:szCs w:val="16"/>
              </w:rPr>
              <w:t>r</w:t>
            </w:r>
            <w:r w:rsidR="00CE19AB">
              <w:rPr>
                <w:rFonts w:cs="Arial"/>
                <w:sz w:val="16"/>
                <w:szCs w:val="16"/>
              </w:rPr>
              <w:t xml:space="preserve"> el diseño de</w:t>
            </w:r>
            <w:r w:rsidR="00CE19AB" w:rsidRPr="003D6102">
              <w:rPr>
                <w:rFonts w:cs="Arial"/>
                <w:sz w:val="16"/>
                <w:szCs w:val="16"/>
              </w:rPr>
              <w:t xml:space="preserve"> políticas prospectivas</w:t>
            </w:r>
            <w:r w:rsidR="00CE19AB">
              <w:rPr>
                <w:rFonts w:cs="Arial"/>
                <w:sz w:val="16"/>
                <w:szCs w:val="16"/>
              </w:rPr>
              <w:t xml:space="preserve"> para atender demandas futuras</w:t>
            </w:r>
            <w:r w:rsidR="008B7431">
              <w:rPr>
                <w:rFonts w:cs="Arial"/>
                <w:sz w:val="16"/>
                <w:szCs w:val="16"/>
              </w:rPr>
              <w:t xml:space="preserve"> y</w:t>
            </w:r>
            <w:r w:rsidR="008B077B">
              <w:rPr>
                <w:rFonts w:cs="Arial"/>
                <w:sz w:val="16"/>
                <w:szCs w:val="16"/>
              </w:rPr>
              <w:t xml:space="preserve"> </w:t>
            </w:r>
            <w:r w:rsidRPr="003D6102">
              <w:rPr>
                <w:rFonts w:cs="Arial"/>
                <w:sz w:val="16"/>
                <w:szCs w:val="16"/>
              </w:rPr>
              <w:t xml:space="preserve">comparar la situación </w:t>
            </w:r>
            <w:r w:rsidR="00316BAD">
              <w:rPr>
                <w:rFonts w:cs="Arial"/>
                <w:sz w:val="16"/>
                <w:szCs w:val="16"/>
              </w:rPr>
              <w:t>de</w:t>
            </w:r>
            <w:r w:rsidRPr="003D6102">
              <w:rPr>
                <w:rFonts w:cs="Arial"/>
                <w:sz w:val="16"/>
                <w:szCs w:val="16"/>
              </w:rPr>
              <w:t xml:space="preserve"> las distintas entidades</w:t>
            </w:r>
            <w:r w:rsidR="00A15971">
              <w:rPr>
                <w:rFonts w:cs="Arial"/>
                <w:sz w:val="16"/>
                <w:szCs w:val="16"/>
              </w:rPr>
              <w:t xml:space="preserve"> federativas</w:t>
            </w:r>
            <w:r w:rsidRPr="003D6102">
              <w:rPr>
                <w:rFonts w:cs="Arial"/>
                <w:sz w:val="16"/>
                <w:szCs w:val="16"/>
              </w:rPr>
              <w:t xml:space="preserve">, </w:t>
            </w:r>
            <w:r w:rsidR="006A387E">
              <w:rPr>
                <w:rFonts w:cs="Arial"/>
                <w:sz w:val="16"/>
                <w:szCs w:val="16"/>
              </w:rPr>
              <w:t>con el</w:t>
            </w:r>
            <w:r>
              <w:rPr>
                <w:rFonts w:cs="Arial"/>
                <w:sz w:val="16"/>
                <w:szCs w:val="16"/>
              </w:rPr>
              <w:t xml:space="preserve"> fin</w:t>
            </w:r>
            <w:r w:rsidRPr="003D6102">
              <w:rPr>
                <w:rFonts w:cs="Arial"/>
                <w:sz w:val="16"/>
                <w:szCs w:val="16"/>
              </w:rPr>
              <w:t xml:space="preserve"> de prever la</w:t>
            </w:r>
            <w:r w:rsidR="008B7431">
              <w:rPr>
                <w:rFonts w:cs="Arial"/>
                <w:sz w:val="16"/>
                <w:szCs w:val="16"/>
              </w:rPr>
              <w:t>s</w:t>
            </w:r>
            <w:r w:rsidRPr="003D6102">
              <w:rPr>
                <w:rFonts w:cs="Arial"/>
                <w:sz w:val="16"/>
                <w:szCs w:val="16"/>
              </w:rPr>
              <w:t xml:space="preserve"> </w:t>
            </w:r>
            <w:r w:rsidR="00316BAD">
              <w:rPr>
                <w:rFonts w:cs="Arial"/>
                <w:sz w:val="16"/>
                <w:szCs w:val="16"/>
              </w:rPr>
              <w:t>transformaci</w:t>
            </w:r>
            <w:r w:rsidR="008B7431">
              <w:rPr>
                <w:rFonts w:cs="Arial"/>
                <w:sz w:val="16"/>
                <w:szCs w:val="16"/>
              </w:rPr>
              <w:t>o</w:t>
            </w:r>
            <w:r w:rsidR="00316BAD">
              <w:rPr>
                <w:rFonts w:cs="Arial"/>
                <w:sz w:val="16"/>
                <w:szCs w:val="16"/>
              </w:rPr>
              <w:t>n</w:t>
            </w:r>
            <w:r w:rsidR="008B7431">
              <w:rPr>
                <w:rFonts w:cs="Arial"/>
                <w:sz w:val="16"/>
                <w:szCs w:val="16"/>
              </w:rPr>
              <w:t>es</w:t>
            </w:r>
            <w:r w:rsidRPr="003D6102">
              <w:rPr>
                <w:rFonts w:cs="Arial"/>
                <w:sz w:val="16"/>
                <w:szCs w:val="16"/>
              </w:rPr>
              <w:t xml:space="preserve"> que experimentarán </w:t>
            </w:r>
            <w:r w:rsidR="006A387E">
              <w:rPr>
                <w:rFonts w:cs="Arial"/>
                <w:sz w:val="16"/>
                <w:szCs w:val="16"/>
              </w:rPr>
              <w:t xml:space="preserve">a causa de la </w:t>
            </w:r>
            <w:r w:rsidRPr="003D6102">
              <w:rPr>
                <w:rFonts w:cs="Arial"/>
                <w:sz w:val="16"/>
                <w:szCs w:val="16"/>
              </w:rPr>
              <w:t xml:space="preserve">transición demográfica. </w:t>
            </w:r>
          </w:p>
        </w:tc>
      </w:tr>
      <w:tr w:rsidR="001534A5" w:rsidRPr="0026312F" w14:paraId="6A01C0F9" w14:textId="77777777" w:rsidTr="00147B08">
        <w:trPr>
          <w:trHeight w:val="1952"/>
          <w:jc w:val="center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D2F4C" w14:textId="026D8BCD" w:rsidR="001534A5" w:rsidRDefault="001534A5" w:rsidP="003F4908">
            <w:pPr>
              <w:ind w:right="-6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293A9F5C" w14:textId="7DDCCE2A" w:rsidR="00847FB6" w:rsidRPr="00627FA7" w:rsidRDefault="00A15971" w:rsidP="00627FA7">
            <w:pPr>
              <w:pStyle w:val="Prrafodelista"/>
              <w:numPr>
                <w:ilvl w:val="0"/>
                <w:numId w:val="2"/>
              </w:numPr>
              <w:ind w:left="227" w:hanging="227"/>
              <w:jc w:val="both"/>
              <w:rPr>
                <w:rFonts w:cs="Arial"/>
                <w:sz w:val="16"/>
                <w:szCs w:val="16"/>
              </w:rPr>
            </w:pPr>
            <w:r w:rsidRPr="009C192B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>M</w:t>
            </w:r>
            <w:r w:rsidR="002A0432" w:rsidRPr="009C192B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 xml:space="preserve">áximo nivel </w:t>
            </w:r>
            <w:r w:rsidR="00364F70" w:rsidRPr="009C192B">
              <w:rPr>
                <w:rFonts w:cs="Arial"/>
                <w:b/>
                <w:color w:val="404040" w:themeColor="text1" w:themeTint="BF"/>
                <w:sz w:val="16"/>
                <w:szCs w:val="16"/>
              </w:rPr>
              <w:t>de desagregación</w:t>
            </w:r>
            <w:r w:rsidRPr="00627FA7">
              <w:rPr>
                <w:rFonts w:cs="Arial"/>
                <w:sz w:val="16"/>
                <w:szCs w:val="16"/>
              </w:rPr>
              <w:t xml:space="preserve">: </w:t>
            </w:r>
            <w:r w:rsidR="001A263E" w:rsidRPr="00627FA7">
              <w:rPr>
                <w:rFonts w:cs="Arial"/>
                <w:sz w:val="16"/>
                <w:szCs w:val="16"/>
              </w:rPr>
              <w:t>entidad</w:t>
            </w:r>
            <w:r w:rsidR="00364F70" w:rsidRPr="00627FA7">
              <w:rPr>
                <w:rFonts w:cs="Arial"/>
                <w:sz w:val="16"/>
                <w:szCs w:val="16"/>
              </w:rPr>
              <w:t xml:space="preserve"> </w:t>
            </w:r>
            <w:r w:rsidR="00847FB6" w:rsidRPr="00627FA7">
              <w:rPr>
                <w:rFonts w:cs="Arial"/>
                <w:sz w:val="16"/>
                <w:szCs w:val="16"/>
              </w:rPr>
              <w:t>federativa.</w:t>
            </w:r>
          </w:p>
          <w:p w14:paraId="49005C72" w14:textId="77777777" w:rsidR="00847FB6" w:rsidRPr="0026312F" w:rsidRDefault="00847FB6" w:rsidP="003F4908">
            <w:pPr>
              <w:ind w:right="-68"/>
              <w:jc w:val="both"/>
              <w:rPr>
                <w:rFonts w:cs="Arial"/>
                <w:sz w:val="16"/>
                <w:szCs w:val="16"/>
              </w:rPr>
            </w:pPr>
          </w:p>
          <w:p w14:paraId="2DE75AF4" w14:textId="1ADE20A3" w:rsidR="001534A5" w:rsidRDefault="001534A5" w:rsidP="003F4908">
            <w:pPr>
              <w:ind w:right="108"/>
              <w:jc w:val="both"/>
              <w:rPr>
                <w:rFonts w:cs="Arial"/>
                <w:b/>
                <w:sz w:val="16"/>
                <w:szCs w:val="16"/>
              </w:rPr>
            </w:pPr>
            <w:r w:rsidRPr="003D6102">
              <w:rPr>
                <w:rFonts w:cs="Arial"/>
                <w:b/>
                <w:sz w:val="16"/>
                <w:szCs w:val="16"/>
              </w:rPr>
              <w:t>Fuente</w:t>
            </w:r>
            <w:r w:rsidR="00A411BB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1F991ECE" w14:textId="41DD2686" w:rsidR="008714BD" w:rsidRPr="00BF617A" w:rsidRDefault="009F601E" w:rsidP="003F4908">
            <w:pPr>
              <w:jc w:val="both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mallCaps/>
                <w:sz w:val="16"/>
                <w:szCs w:val="16"/>
              </w:rPr>
              <w:t>Conapo</w:t>
            </w:r>
            <w:proofErr w:type="spellEnd"/>
            <w:r w:rsidR="00C4696F">
              <w:rPr>
                <w:rFonts w:cs="Arial"/>
                <w:sz w:val="16"/>
                <w:szCs w:val="16"/>
              </w:rPr>
              <w:t xml:space="preserve"> (</w:t>
            </w:r>
            <w:r w:rsidR="00C4696F" w:rsidRPr="005B2923">
              <w:rPr>
                <w:rFonts w:cs="Arial"/>
                <w:sz w:val="16"/>
                <w:szCs w:val="16"/>
              </w:rPr>
              <w:t>201</w:t>
            </w:r>
            <w:r w:rsidR="004B4C90">
              <w:rPr>
                <w:rFonts w:cs="Arial"/>
                <w:sz w:val="16"/>
                <w:szCs w:val="16"/>
              </w:rPr>
              <w:t>8</w:t>
            </w:r>
            <w:r w:rsidR="007D4964" w:rsidRPr="005B2923">
              <w:rPr>
                <w:rFonts w:cs="Arial"/>
                <w:sz w:val="16"/>
                <w:szCs w:val="16"/>
              </w:rPr>
              <w:t>)</w:t>
            </w:r>
            <w:r w:rsidR="007D4964" w:rsidRPr="00BF617A">
              <w:rPr>
                <w:rFonts w:cs="Arial"/>
                <w:sz w:val="16"/>
                <w:szCs w:val="16"/>
              </w:rPr>
              <w:t xml:space="preserve">. Proyecciones de la </w:t>
            </w:r>
            <w:r w:rsidR="00E33F1C">
              <w:rPr>
                <w:rFonts w:cs="Arial"/>
                <w:sz w:val="16"/>
                <w:szCs w:val="16"/>
              </w:rPr>
              <w:t>P</w:t>
            </w:r>
            <w:r w:rsidR="005A1874">
              <w:rPr>
                <w:rFonts w:cs="Arial"/>
                <w:sz w:val="16"/>
                <w:szCs w:val="16"/>
              </w:rPr>
              <w:t xml:space="preserve">oblación de México </w:t>
            </w:r>
            <w:r w:rsidR="006A6478">
              <w:rPr>
                <w:rFonts w:cs="Arial"/>
                <w:sz w:val="16"/>
                <w:szCs w:val="16"/>
              </w:rPr>
              <w:t xml:space="preserve">y de las Entidades Federativas </w:t>
            </w:r>
            <w:r w:rsidR="005A1874">
              <w:rPr>
                <w:rFonts w:cs="Arial"/>
                <w:sz w:val="16"/>
                <w:szCs w:val="16"/>
              </w:rPr>
              <w:t>2016</w:t>
            </w:r>
            <w:r w:rsidR="001A263E" w:rsidRPr="00BF617A">
              <w:rPr>
                <w:rFonts w:cs="Arial"/>
                <w:sz w:val="16"/>
                <w:szCs w:val="16"/>
              </w:rPr>
              <w:t>-</w:t>
            </w:r>
            <w:r w:rsidR="007D4964" w:rsidRPr="00BF617A">
              <w:rPr>
                <w:rFonts w:cs="Arial"/>
                <w:sz w:val="16"/>
                <w:szCs w:val="16"/>
              </w:rPr>
              <w:t xml:space="preserve">2050 </w:t>
            </w:r>
            <w:r w:rsidR="00B1228D" w:rsidRPr="00BF617A">
              <w:rPr>
                <w:rFonts w:cs="Arial"/>
                <w:sz w:val="16"/>
                <w:szCs w:val="16"/>
              </w:rPr>
              <w:t>(</w:t>
            </w:r>
            <w:r w:rsidR="00F04720" w:rsidRPr="00BF617A">
              <w:rPr>
                <w:rFonts w:cs="Arial"/>
                <w:sz w:val="16"/>
                <w:szCs w:val="16"/>
              </w:rPr>
              <w:t>base</w:t>
            </w:r>
            <w:r w:rsidR="007D4964" w:rsidRPr="00BF617A">
              <w:rPr>
                <w:rFonts w:cs="Arial"/>
                <w:sz w:val="16"/>
                <w:szCs w:val="16"/>
              </w:rPr>
              <w:t xml:space="preserve"> de datos).</w:t>
            </w:r>
          </w:p>
          <w:p w14:paraId="1E91988C" w14:textId="77777777" w:rsidR="00D906E3" w:rsidRDefault="00D906E3" w:rsidP="003F490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05E8B0F" w14:textId="30ECF0E9" w:rsidR="001534A5" w:rsidRDefault="001534A5" w:rsidP="003F490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D804F7">
              <w:rPr>
                <w:rFonts w:cs="Arial"/>
                <w:b/>
                <w:sz w:val="16"/>
                <w:szCs w:val="16"/>
              </w:rPr>
              <w:t>Nota</w:t>
            </w:r>
          </w:p>
          <w:p w14:paraId="3609984A" w14:textId="71D00D9F" w:rsidR="001534A5" w:rsidRDefault="001534A5" w:rsidP="003F4908">
            <w:pPr>
              <w:jc w:val="both"/>
              <w:rPr>
                <w:rFonts w:cs="Arial"/>
                <w:sz w:val="12"/>
                <w:szCs w:val="12"/>
              </w:rPr>
            </w:pPr>
            <w:r w:rsidRPr="003B6559">
              <w:rPr>
                <w:rFonts w:cs="Arial"/>
                <w:sz w:val="16"/>
                <w:szCs w:val="16"/>
                <w:vertAlign w:val="superscript"/>
              </w:rPr>
              <w:t>1</w:t>
            </w:r>
            <w:r w:rsidRPr="0021287D">
              <w:rPr>
                <w:rFonts w:cs="Arial"/>
                <w:sz w:val="16"/>
                <w:szCs w:val="16"/>
              </w:rPr>
              <w:t xml:space="preserve"> </w:t>
            </w:r>
            <w:r w:rsidRPr="0021287D">
              <w:rPr>
                <w:rFonts w:cs="Arial"/>
                <w:sz w:val="12"/>
                <w:szCs w:val="12"/>
              </w:rPr>
              <w:t>Se</w:t>
            </w:r>
            <w:r w:rsidR="00415B1F">
              <w:rPr>
                <w:rFonts w:cs="Arial"/>
                <w:sz w:val="12"/>
                <w:szCs w:val="12"/>
              </w:rPr>
              <w:t xml:space="preserve"> incorporó la edad inicial (0 a </w:t>
            </w:r>
            <w:r w:rsidRPr="0021287D">
              <w:rPr>
                <w:rFonts w:cs="Arial"/>
                <w:sz w:val="12"/>
                <w:szCs w:val="12"/>
              </w:rPr>
              <w:t>2</w:t>
            </w:r>
            <w:r w:rsidR="001A263E">
              <w:rPr>
                <w:rFonts w:cs="Arial"/>
                <w:sz w:val="12"/>
                <w:szCs w:val="12"/>
              </w:rPr>
              <w:t xml:space="preserve"> años</w:t>
            </w:r>
            <w:r w:rsidRPr="0021287D">
              <w:rPr>
                <w:rFonts w:cs="Arial"/>
                <w:sz w:val="12"/>
                <w:szCs w:val="12"/>
              </w:rPr>
              <w:t xml:space="preserve">) para fines </w:t>
            </w:r>
            <w:r w:rsidR="005A1874" w:rsidRPr="0021287D">
              <w:rPr>
                <w:rFonts w:cs="Arial"/>
                <w:sz w:val="12"/>
                <w:szCs w:val="12"/>
              </w:rPr>
              <w:t>comparativos,</w:t>
            </w:r>
            <w:r w:rsidRPr="0021287D">
              <w:rPr>
                <w:rFonts w:cs="Arial"/>
                <w:sz w:val="12"/>
                <w:szCs w:val="12"/>
              </w:rPr>
              <w:t xml:space="preserve"> aunque no corresponde estrictamente a educación básica.</w:t>
            </w:r>
          </w:p>
          <w:p w14:paraId="2924208E" w14:textId="77777777" w:rsidR="004D2F61" w:rsidRPr="007848C7" w:rsidRDefault="004D2F61" w:rsidP="001F2A84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spacing w:before="120"/>
              <w:jc w:val="both"/>
              <w:rPr>
                <w:rFonts w:cs="Arial"/>
                <w:sz w:val="12"/>
                <w:szCs w:val="12"/>
              </w:rPr>
            </w:pPr>
          </w:p>
        </w:tc>
      </w:tr>
    </w:tbl>
    <w:p w14:paraId="6055050B" w14:textId="77777777" w:rsidR="001534A5" w:rsidRDefault="001534A5" w:rsidP="009F49E1"/>
    <w:sectPr w:rsidR="001534A5" w:rsidSect="0052490A">
      <w:pgSz w:w="12242" w:h="15842" w:code="1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F79DF"/>
    <w:multiLevelType w:val="hybridMultilevel"/>
    <w:tmpl w:val="504CFE0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B36EF"/>
    <w:multiLevelType w:val="hybridMultilevel"/>
    <w:tmpl w:val="462428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7IwNDQzMzA1M7BQ0lEKTi0uzszPAykwrAUAHNkukCwAAAA="/>
  </w:docVars>
  <w:rsids>
    <w:rsidRoot w:val="00AB31E9"/>
    <w:rsid w:val="000026AC"/>
    <w:rsid w:val="000053D0"/>
    <w:rsid w:val="000057C3"/>
    <w:rsid w:val="00026151"/>
    <w:rsid w:val="0002694E"/>
    <w:rsid w:val="00031997"/>
    <w:rsid w:val="00036C2B"/>
    <w:rsid w:val="00040DAA"/>
    <w:rsid w:val="0004371A"/>
    <w:rsid w:val="0006554A"/>
    <w:rsid w:val="000761C4"/>
    <w:rsid w:val="00080D4D"/>
    <w:rsid w:val="00087C5C"/>
    <w:rsid w:val="00087E19"/>
    <w:rsid w:val="00090F95"/>
    <w:rsid w:val="00093CEB"/>
    <w:rsid w:val="00094C38"/>
    <w:rsid w:val="000A1499"/>
    <w:rsid w:val="000A4D65"/>
    <w:rsid w:val="000B2312"/>
    <w:rsid w:val="000C084D"/>
    <w:rsid w:val="000D168E"/>
    <w:rsid w:val="000D248D"/>
    <w:rsid w:val="000D3674"/>
    <w:rsid w:val="000E16A3"/>
    <w:rsid w:val="000E40C8"/>
    <w:rsid w:val="000E788F"/>
    <w:rsid w:val="000F1174"/>
    <w:rsid w:val="000F6CC0"/>
    <w:rsid w:val="000F74F9"/>
    <w:rsid w:val="00104AD4"/>
    <w:rsid w:val="001125E5"/>
    <w:rsid w:val="00112B94"/>
    <w:rsid w:val="00114884"/>
    <w:rsid w:val="00114EBC"/>
    <w:rsid w:val="00116CC5"/>
    <w:rsid w:val="00117C2E"/>
    <w:rsid w:val="00124E73"/>
    <w:rsid w:val="00147B08"/>
    <w:rsid w:val="001534A5"/>
    <w:rsid w:val="00154497"/>
    <w:rsid w:val="00161AD3"/>
    <w:rsid w:val="0016608F"/>
    <w:rsid w:val="00167428"/>
    <w:rsid w:val="0016768A"/>
    <w:rsid w:val="00186B01"/>
    <w:rsid w:val="00190E28"/>
    <w:rsid w:val="001A263E"/>
    <w:rsid w:val="001A3C15"/>
    <w:rsid w:val="001B37AC"/>
    <w:rsid w:val="001C26A4"/>
    <w:rsid w:val="001C31DD"/>
    <w:rsid w:val="001C37EF"/>
    <w:rsid w:val="001D6E9D"/>
    <w:rsid w:val="001E03EB"/>
    <w:rsid w:val="001E41A7"/>
    <w:rsid w:val="001F24D4"/>
    <w:rsid w:val="001F2A84"/>
    <w:rsid w:val="001F3F03"/>
    <w:rsid w:val="001F4965"/>
    <w:rsid w:val="002101F0"/>
    <w:rsid w:val="0021124C"/>
    <w:rsid w:val="0021287D"/>
    <w:rsid w:val="00213601"/>
    <w:rsid w:val="00214FA8"/>
    <w:rsid w:val="00224633"/>
    <w:rsid w:val="00227524"/>
    <w:rsid w:val="00232A8D"/>
    <w:rsid w:val="00233342"/>
    <w:rsid w:val="0023526D"/>
    <w:rsid w:val="00236F80"/>
    <w:rsid w:val="00240D80"/>
    <w:rsid w:val="00240E6F"/>
    <w:rsid w:val="00242743"/>
    <w:rsid w:val="00242A1D"/>
    <w:rsid w:val="00252DD7"/>
    <w:rsid w:val="002537A5"/>
    <w:rsid w:val="0026312F"/>
    <w:rsid w:val="002636D3"/>
    <w:rsid w:val="00263C9D"/>
    <w:rsid w:val="00265986"/>
    <w:rsid w:val="00273705"/>
    <w:rsid w:val="0027498F"/>
    <w:rsid w:val="00276A36"/>
    <w:rsid w:val="0027720D"/>
    <w:rsid w:val="002806EE"/>
    <w:rsid w:val="00280CB3"/>
    <w:rsid w:val="00295325"/>
    <w:rsid w:val="0029652B"/>
    <w:rsid w:val="0029677B"/>
    <w:rsid w:val="002A0432"/>
    <w:rsid w:val="002D65FA"/>
    <w:rsid w:val="002E0870"/>
    <w:rsid w:val="002E0FD3"/>
    <w:rsid w:val="002E623E"/>
    <w:rsid w:val="002E7EF6"/>
    <w:rsid w:val="002F4E7C"/>
    <w:rsid w:val="002F5E0C"/>
    <w:rsid w:val="00304C1A"/>
    <w:rsid w:val="00307E52"/>
    <w:rsid w:val="00316BAD"/>
    <w:rsid w:val="00322E6D"/>
    <w:rsid w:val="00325532"/>
    <w:rsid w:val="003309F0"/>
    <w:rsid w:val="00336180"/>
    <w:rsid w:val="00337030"/>
    <w:rsid w:val="00341844"/>
    <w:rsid w:val="00344150"/>
    <w:rsid w:val="0034513F"/>
    <w:rsid w:val="003456E5"/>
    <w:rsid w:val="00362975"/>
    <w:rsid w:val="00364F70"/>
    <w:rsid w:val="003817D6"/>
    <w:rsid w:val="00382547"/>
    <w:rsid w:val="00386B82"/>
    <w:rsid w:val="00386F15"/>
    <w:rsid w:val="0039585B"/>
    <w:rsid w:val="003A2B9F"/>
    <w:rsid w:val="003B1CB2"/>
    <w:rsid w:val="003B3690"/>
    <w:rsid w:val="003B6559"/>
    <w:rsid w:val="003C1F5C"/>
    <w:rsid w:val="003C27B7"/>
    <w:rsid w:val="003C35DA"/>
    <w:rsid w:val="003C590C"/>
    <w:rsid w:val="003C70C9"/>
    <w:rsid w:val="003C7108"/>
    <w:rsid w:val="003C7372"/>
    <w:rsid w:val="003C754D"/>
    <w:rsid w:val="003C7DFE"/>
    <w:rsid w:val="003D5F89"/>
    <w:rsid w:val="003D6102"/>
    <w:rsid w:val="003D7AD3"/>
    <w:rsid w:val="003E2CE9"/>
    <w:rsid w:val="003F08CF"/>
    <w:rsid w:val="003F35E4"/>
    <w:rsid w:val="003F3EF7"/>
    <w:rsid w:val="003F4908"/>
    <w:rsid w:val="003F78E8"/>
    <w:rsid w:val="00414382"/>
    <w:rsid w:val="00415B1F"/>
    <w:rsid w:val="0044047C"/>
    <w:rsid w:val="00441160"/>
    <w:rsid w:val="00454C4D"/>
    <w:rsid w:val="004550C5"/>
    <w:rsid w:val="004637DD"/>
    <w:rsid w:val="00463C7E"/>
    <w:rsid w:val="0046604D"/>
    <w:rsid w:val="0046657F"/>
    <w:rsid w:val="00475B82"/>
    <w:rsid w:val="004842FF"/>
    <w:rsid w:val="00486B69"/>
    <w:rsid w:val="00496FCD"/>
    <w:rsid w:val="004A1D8F"/>
    <w:rsid w:val="004B169D"/>
    <w:rsid w:val="004B1EFB"/>
    <w:rsid w:val="004B4C90"/>
    <w:rsid w:val="004B66D8"/>
    <w:rsid w:val="004D0C8B"/>
    <w:rsid w:val="004D2F61"/>
    <w:rsid w:val="004D586D"/>
    <w:rsid w:val="004D6B9C"/>
    <w:rsid w:val="004E0DC5"/>
    <w:rsid w:val="004F1AA0"/>
    <w:rsid w:val="004F6DB6"/>
    <w:rsid w:val="00506119"/>
    <w:rsid w:val="0052490A"/>
    <w:rsid w:val="00534A54"/>
    <w:rsid w:val="00542FA7"/>
    <w:rsid w:val="00544DD3"/>
    <w:rsid w:val="00546903"/>
    <w:rsid w:val="00547BF0"/>
    <w:rsid w:val="00551392"/>
    <w:rsid w:val="00554777"/>
    <w:rsid w:val="00555E39"/>
    <w:rsid w:val="005658D6"/>
    <w:rsid w:val="00572283"/>
    <w:rsid w:val="00575ACE"/>
    <w:rsid w:val="00580577"/>
    <w:rsid w:val="0058189E"/>
    <w:rsid w:val="00584538"/>
    <w:rsid w:val="00586CE4"/>
    <w:rsid w:val="005A1874"/>
    <w:rsid w:val="005A19DD"/>
    <w:rsid w:val="005A4BBF"/>
    <w:rsid w:val="005A672E"/>
    <w:rsid w:val="005B2923"/>
    <w:rsid w:val="005B6C93"/>
    <w:rsid w:val="005B7ED1"/>
    <w:rsid w:val="005C0BF0"/>
    <w:rsid w:val="005C0EFA"/>
    <w:rsid w:val="005C471F"/>
    <w:rsid w:val="005C653A"/>
    <w:rsid w:val="005D2471"/>
    <w:rsid w:val="005D4A2D"/>
    <w:rsid w:val="005E618F"/>
    <w:rsid w:val="00603E80"/>
    <w:rsid w:val="00605A57"/>
    <w:rsid w:val="00611A61"/>
    <w:rsid w:val="006203AA"/>
    <w:rsid w:val="0062045B"/>
    <w:rsid w:val="00627FA7"/>
    <w:rsid w:val="0063170E"/>
    <w:rsid w:val="00633DE0"/>
    <w:rsid w:val="006340D1"/>
    <w:rsid w:val="00640B5E"/>
    <w:rsid w:val="00647E0C"/>
    <w:rsid w:val="00653EC2"/>
    <w:rsid w:val="0065722F"/>
    <w:rsid w:val="00660362"/>
    <w:rsid w:val="006613BC"/>
    <w:rsid w:val="00663001"/>
    <w:rsid w:val="00663150"/>
    <w:rsid w:val="006634DB"/>
    <w:rsid w:val="006700A2"/>
    <w:rsid w:val="00671554"/>
    <w:rsid w:val="006774BE"/>
    <w:rsid w:val="0068098A"/>
    <w:rsid w:val="00682DE3"/>
    <w:rsid w:val="0068301B"/>
    <w:rsid w:val="006836B8"/>
    <w:rsid w:val="00690677"/>
    <w:rsid w:val="00691C4A"/>
    <w:rsid w:val="006924D2"/>
    <w:rsid w:val="006928FD"/>
    <w:rsid w:val="00693E03"/>
    <w:rsid w:val="006976FF"/>
    <w:rsid w:val="006A1812"/>
    <w:rsid w:val="006A387E"/>
    <w:rsid w:val="006A6478"/>
    <w:rsid w:val="006A6A28"/>
    <w:rsid w:val="006B1D11"/>
    <w:rsid w:val="006C2F41"/>
    <w:rsid w:val="006C30CA"/>
    <w:rsid w:val="006C5F21"/>
    <w:rsid w:val="006D6502"/>
    <w:rsid w:val="006D6C29"/>
    <w:rsid w:val="006D6D6B"/>
    <w:rsid w:val="00700325"/>
    <w:rsid w:val="00726DB8"/>
    <w:rsid w:val="0073271B"/>
    <w:rsid w:val="0073280E"/>
    <w:rsid w:val="00743B8C"/>
    <w:rsid w:val="0075696A"/>
    <w:rsid w:val="0075732F"/>
    <w:rsid w:val="007578C0"/>
    <w:rsid w:val="00771BFD"/>
    <w:rsid w:val="00772180"/>
    <w:rsid w:val="00772A7B"/>
    <w:rsid w:val="007756EC"/>
    <w:rsid w:val="0077602F"/>
    <w:rsid w:val="007848C7"/>
    <w:rsid w:val="007A0B1B"/>
    <w:rsid w:val="007A15DB"/>
    <w:rsid w:val="007A313E"/>
    <w:rsid w:val="007B1487"/>
    <w:rsid w:val="007B14FF"/>
    <w:rsid w:val="007B4263"/>
    <w:rsid w:val="007C24D3"/>
    <w:rsid w:val="007C3699"/>
    <w:rsid w:val="007D06FC"/>
    <w:rsid w:val="007D4964"/>
    <w:rsid w:val="007E61C0"/>
    <w:rsid w:val="007F2092"/>
    <w:rsid w:val="007F2C3E"/>
    <w:rsid w:val="00804C4A"/>
    <w:rsid w:val="00806597"/>
    <w:rsid w:val="0081018C"/>
    <w:rsid w:val="00810A8A"/>
    <w:rsid w:val="0081574A"/>
    <w:rsid w:val="008259AE"/>
    <w:rsid w:val="008267F9"/>
    <w:rsid w:val="0083405C"/>
    <w:rsid w:val="00842976"/>
    <w:rsid w:val="0084571F"/>
    <w:rsid w:val="008461ED"/>
    <w:rsid w:val="00847FB6"/>
    <w:rsid w:val="00866732"/>
    <w:rsid w:val="008714BD"/>
    <w:rsid w:val="00874A23"/>
    <w:rsid w:val="00884504"/>
    <w:rsid w:val="0089222A"/>
    <w:rsid w:val="00893DD7"/>
    <w:rsid w:val="00896EAC"/>
    <w:rsid w:val="008A6C8C"/>
    <w:rsid w:val="008A6CD0"/>
    <w:rsid w:val="008B077B"/>
    <w:rsid w:val="008B16AA"/>
    <w:rsid w:val="008B6310"/>
    <w:rsid w:val="008B7431"/>
    <w:rsid w:val="008C0951"/>
    <w:rsid w:val="008C0F29"/>
    <w:rsid w:val="008D0977"/>
    <w:rsid w:val="008D3003"/>
    <w:rsid w:val="008D41F4"/>
    <w:rsid w:val="008D4A7D"/>
    <w:rsid w:val="008E0B52"/>
    <w:rsid w:val="008E38B2"/>
    <w:rsid w:val="008E3CFB"/>
    <w:rsid w:val="00900F82"/>
    <w:rsid w:val="00901432"/>
    <w:rsid w:val="00902414"/>
    <w:rsid w:val="00904F02"/>
    <w:rsid w:val="009057BD"/>
    <w:rsid w:val="00910250"/>
    <w:rsid w:val="00912303"/>
    <w:rsid w:val="0093018D"/>
    <w:rsid w:val="00933F61"/>
    <w:rsid w:val="00940716"/>
    <w:rsid w:val="00960019"/>
    <w:rsid w:val="00963CDE"/>
    <w:rsid w:val="009648CB"/>
    <w:rsid w:val="00965F32"/>
    <w:rsid w:val="00966F38"/>
    <w:rsid w:val="00976327"/>
    <w:rsid w:val="009803FD"/>
    <w:rsid w:val="00986A00"/>
    <w:rsid w:val="00994FE9"/>
    <w:rsid w:val="009A12C5"/>
    <w:rsid w:val="009A46EE"/>
    <w:rsid w:val="009A6238"/>
    <w:rsid w:val="009B199E"/>
    <w:rsid w:val="009B748C"/>
    <w:rsid w:val="009B7F68"/>
    <w:rsid w:val="009C192B"/>
    <w:rsid w:val="009C6E87"/>
    <w:rsid w:val="009D066F"/>
    <w:rsid w:val="009D6366"/>
    <w:rsid w:val="009E177B"/>
    <w:rsid w:val="009F49E1"/>
    <w:rsid w:val="009F601E"/>
    <w:rsid w:val="00A00CD1"/>
    <w:rsid w:val="00A15971"/>
    <w:rsid w:val="00A32AA5"/>
    <w:rsid w:val="00A344DD"/>
    <w:rsid w:val="00A36B44"/>
    <w:rsid w:val="00A411BB"/>
    <w:rsid w:val="00A43AF7"/>
    <w:rsid w:val="00A45082"/>
    <w:rsid w:val="00A45B29"/>
    <w:rsid w:val="00A46787"/>
    <w:rsid w:val="00A569C5"/>
    <w:rsid w:val="00A61C6D"/>
    <w:rsid w:val="00A62ED8"/>
    <w:rsid w:val="00A658A8"/>
    <w:rsid w:val="00A70AC0"/>
    <w:rsid w:val="00A7172B"/>
    <w:rsid w:val="00A748D7"/>
    <w:rsid w:val="00A76988"/>
    <w:rsid w:val="00A77749"/>
    <w:rsid w:val="00A77CC3"/>
    <w:rsid w:val="00A837D2"/>
    <w:rsid w:val="00A95B78"/>
    <w:rsid w:val="00AA0662"/>
    <w:rsid w:val="00AB31E9"/>
    <w:rsid w:val="00AB4BE1"/>
    <w:rsid w:val="00AB74F2"/>
    <w:rsid w:val="00AC5549"/>
    <w:rsid w:val="00AD6CA8"/>
    <w:rsid w:val="00AE1C98"/>
    <w:rsid w:val="00AF599E"/>
    <w:rsid w:val="00AF6F4F"/>
    <w:rsid w:val="00B06931"/>
    <w:rsid w:val="00B10139"/>
    <w:rsid w:val="00B1228D"/>
    <w:rsid w:val="00B12AD1"/>
    <w:rsid w:val="00B17170"/>
    <w:rsid w:val="00B17F61"/>
    <w:rsid w:val="00B24A17"/>
    <w:rsid w:val="00B27971"/>
    <w:rsid w:val="00B310F0"/>
    <w:rsid w:val="00B352E6"/>
    <w:rsid w:val="00B40C3B"/>
    <w:rsid w:val="00B43974"/>
    <w:rsid w:val="00B53271"/>
    <w:rsid w:val="00B53E01"/>
    <w:rsid w:val="00B56A79"/>
    <w:rsid w:val="00B7380D"/>
    <w:rsid w:val="00B74AAD"/>
    <w:rsid w:val="00B75D7A"/>
    <w:rsid w:val="00B84189"/>
    <w:rsid w:val="00B855D7"/>
    <w:rsid w:val="00B86EBC"/>
    <w:rsid w:val="00B90A6B"/>
    <w:rsid w:val="00B96C4F"/>
    <w:rsid w:val="00B977C2"/>
    <w:rsid w:val="00BA06BB"/>
    <w:rsid w:val="00BA484D"/>
    <w:rsid w:val="00BA6AF1"/>
    <w:rsid w:val="00BA719C"/>
    <w:rsid w:val="00BB3AEC"/>
    <w:rsid w:val="00BB62EF"/>
    <w:rsid w:val="00BD1DCF"/>
    <w:rsid w:val="00BF0B91"/>
    <w:rsid w:val="00BF31F6"/>
    <w:rsid w:val="00BF40BE"/>
    <w:rsid w:val="00BF617A"/>
    <w:rsid w:val="00C079A6"/>
    <w:rsid w:val="00C13573"/>
    <w:rsid w:val="00C17976"/>
    <w:rsid w:val="00C17F55"/>
    <w:rsid w:val="00C238A2"/>
    <w:rsid w:val="00C238BA"/>
    <w:rsid w:val="00C25257"/>
    <w:rsid w:val="00C43A96"/>
    <w:rsid w:val="00C45581"/>
    <w:rsid w:val="00C468D5"/>
    <w:rsid w:val="00C4696F"/>
    <w:rsid w:val="00C55FFA"/>
    <w:rsid w:val="00C60270"/>
    <w:rsid w:val="00C610F0"/>
    <w:rsid w:val="00C61D86"/>
    <w:rsid w:val="00C626DA"/>
    <w:rsid w:val="00C62A6E"/>
    <w:rsid w:val="00C62A7D"/>
    <w:rsid w:val="00C65CE1"/>
    <w:rsid w:val="00C66A2F"/>
    <w:rsid w:val="00C71064"/>
    <w:rsid w:val="00C71CAE"/>
    <w:rsid w:val="00C72A74"/>
    <w:rsid w:val="00C73342"/>
    <w:rsid w:val="00C74343"/>
    <w:rsid w:val="00C913CC"/>
    <w:rsid w:val="00C93481"/>
    <w:rsid w:val="00C957EB"/>
    <w:rsid w:val="00C97901"/>
    <w:rsid w:val="00C97E0B"/>
    <w:rsid w:val="00CA2710"/>
    <w:rsid w:val="00CA3DAD"/>
    <w:rsid w:val="00CA6B31"/>
    <w:rsid w:val="00CB45D5"/>
    <w:rsid w:val="00CC0398"/>
    <w:rsid w:val="00CC05C9"/>
    <w:rsid w:val="00CD436E"/>
    <w:rsid w:val="00CD5213"/>
    <w:rsid w:val="00CE01E8"/>
    <w:rsid w:val="00CE1662"/>
    <w:rsid w:val="00CE19AB"/>
    <w:rsid w:val="00CF2274"/>
    <w:rsid w:val="00CF54DA"/>
    <w:rsid w:val="00D001C3"/>
    <w:rsid w:val="00D126A7"/>
    <w:rsid w:val="00D135ED"/>
    <w:rsid w:val="00D33EB2"/>
    <w:rsid w:val="00D45978"/>
    <w:rsid w:val="00D54FFB"/>
    <w:rsid w:val="00D60699"/>
    <w:rsid w:val="00D64EAD"/>
    <w:rsid w:val="00D66357"/>
    <w:rsid w:val="00D67358"/>
    <w:rsid w:val="00D70501"/>
    <w:rsid w:val="00D71D2A"/>
    <w:rsid w:val="00D804F7"/>
    <w:rsid w:val="00D82537"/>
    <w:rsid w:val="00D876DA"/>
    <w:rsid w:val="00D906E3"/>
    <w:rsid w:val="00D93361"/>
    <w:rsid w:val="00D948B3"/>
    <w:rsid w:val="00D951DF"/>
    <w:rsid w:val="00D96788"/>
    <w:rsid w:val="00D9697A"/>
    <w:rsid w:val="00DA0ABE"/>
    <w:rsid w:val="00DA5360"/>
    <w:rsid w:val="00DB522C"/>
    <w:rsid w:val="00DC1402"/>
    <w:rsid w:val="00DC708D"/>
    <w:rsid w:val="00DE2232"/>
    <w:rsid w:val="00DE2B6B"/>
    <w:rsid w:val="00DE61DD"/>
    <w:rsid w:val="00DF301D"/>
    <w:rsid w:val="00E0180E"/>
    <w:rsid w:val="00E01E82"/>
    <w:rsid w:val="00E02B6C"/>
    <w:rsid w:val="00E05444"/>
    <w:rsid w:val="00E11F1B"/>
    <w:rsid w:val="00E1200B"/>
    <w:rsid w:val="00E135B0"/>
    <w:rsid w:val="00E179A4"/>
    <w:rsid w:val="00E211C3"/>
    <w:rsid w:val="00E33F1C"/>
    <w:rsid w:val="00E44BD0"/>
    <w:rsid w:val="00E4657F"/>
    <w:rsid w:val="00E51D93"/>
    <w:rsid w:val="00E522D7"/>
    <w:rsid w:val="00E5689C"/>
    <w:rsid w:val="00E6078C"/>
    <w:rsid w:val="00E629A1"/>
    <w:rsid w:val="00E62AFA"/>
    <w:rsid w:val="00E63083"/>
    <w:rsid w:val="00E64AE4"/>
    <w:rsid w:val="00E67962"/>
    <w:rsid w:val="00E76B24"/>
    <w:rsid w:val="00E80213"/>
    <w:rsid w:val="00E8311A"/>
    <w:rsid w:val="00E90666"/>
    <w:rsid w:val="00E96AA8"/>
    <w:rsid w:val="00E97869"/>
    <w:rsid w:val="00EA0F33"/>
    <w:rsid w:val="00EA4558"/>
    <w:rsid w:val="00EA4F2A"/>
    <w:rsid w:val="00EC1D41"/>
    <w:rsid w:val="00EC2A75"/>
    <w:rsid w:val="00EC6409"/>
    <w:rsid w:val="00ED0B09"/>
    <w:rsid w:val="00ED47CA"/>
    <w:rsid w:val="00ED7702"/>
    <w:rsid w:val="00EE12A6"/>
    <w:rsid w:val="00F04720"/>
    <w:rsid w:val="00F06A52"/>
    <w:rsid w:val="00F22A52"/>
    <w:rsid w:val="00F30E47"/>
    <w:rsid w:val="00F32B6F"/>
    <w:rsid w:val="00F3633C"/>
    <w:rsid w:val="00F51B14"/>
    <w:rsid w:val="00F551E4"/>
    <w:rsid w:val="00F566F9"/>
    <w:rsid w:val="00F57DCB"/>
    <w:rsid w:val="00F66EE1"/>
    <w:rsid w:val="00F70374"/>
    <w:rsid w:val="00F709EC"/>
    <w:rsid w:val="00F70D28"/>
    <w:rsid w:val="00F70FFB"/>
    <w:rsid w:val="00F713A4"/>
    <w:rsid w:val="00F815A1"/>
    <w:rsid w:val="00FB5649"/>
    <w:rsid w:val="00FC4ED7"/>
    <w:rsid w:val="00FC56D5"/>
    <w:rsid w:val="00FE6084"/>
    <w:rsid w:val="00FE7E64"/>
    <w:rsid w:val="00FF1789"/>
    <w:rsid w:val="00FF1BB0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9DF606"/>
  <w15:docId w15:val="{6DF434E9-30FB-47AE-81CB-5F14DF2C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1E9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4304D3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paragraph" w:styleId="Encabezado">
    <w:name w:val="header"/>
    <w:basedOn w:val="Normal"/>
    <w:link w:val="EncabezadoCar"/>
    <w:rsid w:val="00AB31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304D3"/>
    <w:rPr>
      <w:rFonts w:ascii="Arial" w:hAnsi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B31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2E08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04D3"/>
    <w:rPr>
      <w:sz w:val="0"/>
      <w:szCs w:val="0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263C9D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263C9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304D3"/>
    <w:rPr>
      <w:rFonts w:ascii="Arial" w:hAnsi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63C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304D3"/>
    <w:rPr>
      <w:rFonts w:ascii="Arial" w:hAnsi="Arial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rsid w:val="00DC708D"/>
    <w:rPr>
      <w:rFonts w:cs="Times New Roman"/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893DD7"/>
    <w:rPr>
      <w:color w:val="808080"/>
    </w:rPr>
  </w:style>
  <w:style w:type="paragraph" w:styleId="Revisin">
    <w:name w:val="Revision"/>
    <w:hidden/>
    <w:uiPriority w:val="99"/>
    <w:semiHidden/>
    <w:rsid w:val="004D6B9C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45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84CA5-82FE-4F82-9EC6-22C1E7CC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creator>Mariel Escobar</dc:creator>
  <cp:lastModifiedBy>NAA</cp:lastModifiedBy>
  <cp:revision>65</cp:revision>
  <cp:lastPrinted>2012-12-14T16:06:00Z</cp:lastPrinted>
  <dcterms:created xsi:type="dcterms:W3CDTF">2017-12-07T15:15:00Z</dcterms:created>
  <dcterms:modified xsi:type="dcterms:W3CDTF">2019-05-27T15:18:00Z</dcterms:modified>
</cp:coreProperties>
</file>