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C88A9" w14:textId="77777777" w:rsidR="003E79B7" w:rsidRPr="002F579F" w:rsidRDefault="008C2F1F" w:rsidP="0037055B">
      <w:pPr>
        <w:rPr>
          <w:rFonts w:ascii="Arial" w:hAnsi="Arial" w:cs="Arial"/>
        </w:rPr>
      </w:pPr>
      <w:r w:rsidRPr="002F579F">
        <w:rPr>
          <w:noProof/>
          <w:lang w:val="es-419" w:eastAsia="es-419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9374CA" wp14:editId="5DF429F8">
                <wp:simplePos x="0" y="0"/>
                <wp:positionH relativeFrom="column">
                  <wp:posOffset>-41302</wp:posOffset>
                </wp:positionH>
                <wp:positionV relativeFrom="paragraph">
                  <wp:posOffset>81288</wp:posOffset>
                </wp:positionV>
                <wp:extent cx="685800" cy="268609"/>
                <wp:effectExtent l="0" t="0" r="19050" b="1714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6860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571F72" w14:textId="77777777" w:rsidR="003E79B7" w:rsidRPr="00470ACB" w:rsidRDefault="003E79B7" w:rsidP="0037055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15A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RE0</w:t>
                            </w:r>
                            <w:r w:rsidR="00933D0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</w:t>
                            </w:r>
                            <w:r w:rsidRPr="00C15A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9374CA" id="AutoShape 4" o:spid="_x0000_s1026" style="position:absolute;margin-left:-3.25pt;margin-top:6.4pt;width:54pt;height:21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">
                <v:textbox>
                  <w:txbxContent>
                    <w:p w14:paraId="40571F72" w14:textId="77777777" w:rsidR="003E79B7" w:rsidRPr="00470ACB" w:rsidRDefault="003E79B7" w:rsidP="0037055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15A65">
                        <w:rPr>
                          <w:rFonts w:ascii="Arial" w:hAnsi="Arial" w:cs="Arial"/>
                          <w:sz w:val="20"/>
                          <w:szCs w:val="20"/>
                        </w:rPr>
                        <w:t>RE0</w:t>
                      </w:r>
                      <w:r w:rsidR="00933D0E">
                        <w:rPr>
                          <w:rFonts w:ascii="Arial" w:hAnsi="Arial" w:cs="Arial"/>
                          <w:sz w:val="20"/>
                          <w:szCs w:val="20"/>
                        </w:rPr>
                        <w:t>2</w:t>
                      </w:r>
                      <w:r w:rsidRPr="00C15A65">
                        <w:rPr>
                          <w:rFonts w:ascii="Arial" w:hAnsi="Arial" w:cs="Arial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038C2B" w14:textId="77777777" w:rsidR="003E79B7" w:rsidRPr="002F579F" w:rsidRDefault="003E79B7" w:rsidP="0037055B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4"/>
      </w:tblGrid>
      <w:tr w:rsidR="002F579F" w:rsidRPr="002F579F" w14:paraId="6A381D3C" w14:textId="77777777" w:rsidTr="00B97A30">
        <w:trPr>
          <w:trHeight w:val="83"/>
        </w:trPr>
        <w:tc>
          <w:tcPr>
            <w:tcW w:w="5000" w:type="pct"/>
          </w:tcPr>
          <w:p w14:paraId="7925201D" w14:textId="77777777" w:rsidR="003E79B7" w:rsidRPr="002F579F" w:rsidRDefault="003E79B7" w:rsidP="007A79AE">
            <w:pPr>
              <w:tabs>
                <w:tab w:val="left" w:pos="0"/>
              </w:tabs>
              <w:ind w:right="11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Nombre del </w:t>
            </w:r>
            <w:r w:rsidR="009A3325" w:rsidRPr="002F579F">
              <w:rPr>
                <w:rFonts w:ascii="Arial" w:hAnsi="Arial" w:cs="Arial"/>
                <w:b/>
                <w:bCs/>
                <w:sz w:val="16"/>
                <w:szCs w:val="16"/>
              </w:rPr>
              <w:t>indicador</w:t>
            </w:r>
          </w:p>
          <w:p w14:paraId="204DF837" w14:textId="50FDACCD" w:rsidR="003E79B7" w:rsidRPr="002F579F" w:rsidRDefault="003E79B7" w:rsidP="004F268F">
            <w:pPr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sz w:val="16"/>
                <w:szCs w:val="16"/>
              </w:rPr>
              <w:t xml:space="preserve">Salario relativo </w:t>
            </w:r>
            <w:r w:rsidR="002F04A2" w:rsidRPr="002F579F">
              <w:rPr>
                <w:rFonts w:ascii="Arial" w:hAnsi="Arial" w:cs="Arial"/>
                <w:sz w:val="16"/>
                <w:szCs w:val="16"/>
              </w:rPr>
              <w:t xml:space="preserve">por hora </w:t>
            </w:r>
            <w:r w:rsidRPr="002F579F">
              <w:rPr>
                <w:rFonts w:ascii="Arial" w:hAnsi="Arial" w:cs="Arial"/>
                <w:sz w:val="16"/>
                <w:szCs w:val="16"/>
              </w:rPr>
              <w:t>de los trabajadores</w:t>
            </w:r>
          </w:p>
        </w:tc>
      </w:tr>
      <w:tr w:rsidR="002F579F" w:rsidRPr="002F579F" w14:paraId="2629A1A0" w14:textId="77777777" w:rsidTr="00C23895">
        <w:trPr>
          <w:trHeight w:val="1047"/>
        </w:trPr>
        <w:tc>
          <w:tcPr>
            <w:tcW w:w="5000" w:type="pct"/>
          </w:tcPr>
          <w:p w14:paraId="05C67D0A" w14:textId="77777777" w:rsidR="003E79B7" w:rsidRPr="002F579F" w:rsidRDefault="009A3325" w:rsidP="007A79A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Definición</w:t>
            </w:r>
          </w:p>
          <w:p w14:paraId="2AB78DE0" w14:textId="77777777" w:rsidR="003D61C1" w:rsidRPr="002F579F" w:rsidRDefault="00EE2BC5" w:rsidP="00C2389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sz w:val="16"/>
                <w:szCs w:val="16"/>
              </w:rPr>
              <w:t xml:space="preserve">Razón </w:t>
            </w:r>
            <w:r w:rsidR="003E79B7" w:rsidRPr="002F579F">
              <w:rPr>
                <w:rFonts w:ascii="Arial" w:hAnsi="Arial" w:cs="Arial"/>
                <w:sz w:val="16"/>
                <w:szCs w:val="16"/>
              </w:rPr>
              <w:t>del salario</w:t>
            </w:r>
            <w:r w:rsidR="003E79B7" w:rsidRPr="002F579F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1 </w:t>
            </w:r>
            <w:r w:rsidR="002F04A2" w:rsidRPr="002F579F">
              <w:rPr>
                <w:rFonts w:ascii="Arial" w:hAnsi="Arial" w:cs="Arial"/>
                <w:sz w:val="16"/>
                <w:szCs w:val="16"/>
              </w:rPr>
              <w:t>por hora</w:t>
            </w:r>
            <w:r w:rsidR="003E79B7" w:rsidRPr="002F579F">
              <w:rPr>
                <w:rFonts w:ascii="Arial" w:hAnsi="Arial" w:cs="Arial"/>
                <w:sz w:val="16"/>
                <w:szCs w:val="16"/>
              </w:rPr>
              <w:t xml:space="preserve"> de los trabajadores </w:t>
            </w:r>
            <w:r w:rsidR="002F04A2" w:rsidRPr="002F579F">
              <w:rPr>
                <w:rFonts w:ascii="Arial" w:hAnsi="Arial" w:cs="Arial"/>
                <w:sz w:val="16"/>
                <w:szCs w:val="16"/>
              </w:rPr>
              <w:t xml:space="preserve">en un grupo de edad </w:t>
            </w:r>
            <w:r w:rsidR="00700CD0" w:rsidRPr="002F579F">
              <w:rPr>
                <w:rFonts w:ascii="Arial" w:hAnsi="Arial" w:cs="Arial"/>
                <w:sz w:val="16"/>
                <w:szCs w:val="16"/>
              </w:rPr>
              <w:t>y</w:t>
            </w:r>
            <w:r w:rsidR="003E79B7" w:rsidRPr="002F579F">
              <w:rPr>
                <w:rFonts w:ascii="Arial" w:hAnsi="Arial" w:cs="Arial"/>
                <w:sz w:val="16"/>
                <w:szCs w:val="16"/>
              </w:rPr>
              <w:t xml:space="preserve"> nivel </w:t>
            </w:r>
            <w:r w:rsidR="00700CD0" w:rsidRPr="002F579F">
              <w:rPr>
                <w:rFonts w:ascii="Arial" w:hAnsi="Arial" w:cs="Arial"/>
                <w:sz w:val="16"/>
                <w:szCs w:val="16"/>
              </w:rPr>
              <w:t>de escolaridad</w:t>
            </w:r>
            <w:r w:rsidR="002F04A2" w:rsidRPr="002F579F">
              <w:rPr>
                <w:rFonts w:ascii="Arial" w:hAnsi="Arial" w:cs="Arial"/>
                <w:sz w:val="16"/>
                <w:szCs w:val="16"/>
              </w:rPr>
              <w:t xml:space="preserve"> respecto del percibido por quienes tienen el nivel </w:t>
            </w:r>
            <w:r w:rsidR="00700CD0" w:rsidRPr="002F579F">
              <w:rPr>
                <w:rFonts w:ascii="Arial" w:hAnsi="Arial" w:cs="Arial"/>
                <w:sz w:val="16"/>
                <w:szCs w:val="16"/>
              </w:rPr>
              <w:t>ed</w:t>
            </w:r>
            <w:r w:rsidR="00144666" w:rsidRPr="002F579F">
              <w:rPr>
                <w:rFonts w:ascii="Arial" w:hAnsi="Arial" w:cs="Arial"/>
                <w:sz w:val="16"/>
                <w:szCs w:val="16"/>
              </w:rPr>
              <w:t>uc</w:t>
            </w:r>
            <w:r w:rsidR="00700CD0" w:rsidRPr="002F579F">
              <w:rPr>
                <w:rFonts w:ascii="Arial" w:hAnsi="Arial" w:cs="Arial"/>
                <w:sz w:val="16"/>
                <w:szCs w:val="16"/>
              </w:rPr>
              <w:t>ativo</w:t>
            </w:r>
            <w:r w:rsidR="002F04A2" w:rsidRPr="002F579F">
              <w:rPr>
                <w:rFonts w:ascii="Arial" w:hAnsi="Arial" w:cs="Arial"/>
                <w:sz w:val="16"/>
                <w:szCs w:val="16"/>
              </w:rPr>
              <w:t xml:space="preserve"> de referencia</w:t>
            </w:r>
            <w:r w:rsidR="006E4EA1" w:rsidRPr="002F579F">
              <w:rPr>
                <w:rFonts w:ascii="Arial" w:hAnsi="Arial" w:cs="Arial"/>
                <w:sz w:val="16"/>
                <w:szCs w:val="16"/>
              </w:rPr>
              <w:t xml:space="preserve"> y</w:t>
            </w:r>
            <w:r w:rsidR="002F04A2" w:rsidRPr="002F579F">
              <w:rPr>
                <w:rFonts w:ascii="Arial" w:hAnsi="Arial" w:cs="Arial"/>
                <w:sz w:val="16"/>
                <w:szCs w:val="16"/>
              </w:rPr>
              <w:t xml:space="preserve"> pertenecen al mismo grupo de edad</w:t>
            </w:r>
            <w:r w:rsidR="003E79B7" w:rsidRPr="002F579F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3D61C1" w:rsidRPr="002F579F">
              <w:rPr>
                <w:rFonts w:ascii="Arial" w:hAnsi="Arial" w:cs="Arial"/>
                <w:sz w:val="16"/>
                <w:szCs w:val="16"/>
              </w:rPr>
              <w:t>Los niveles educativos de referencia son los siguientes:</w:t>
            </w:r>
          </w:p>
          <w:p w14:paraId="5ECA886A" w14:textId="77777777" w:rsidR="003D61C1" w:rsidRPr="002F579F" w:rsidRDefault="003D61C1" w:rsidP="003D61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Educación básica =</w:t>
            </w:r>
            <w:r w:rsidR="004D24C4" w:rsidRPr="002F57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579F">
              <w:rPr>
                <w:rFonts w:ascii="Arial" w:hAnsi="Arial" w:cs="Arial"/>
                <w:sz w:val="16"/>
                <w:szCs w:val="16"/>
              </w:rPr>
              <w:t>1 p</w:t>
            </w:r>
            <w:r w:rsidR="00AB1B88" w:rsidRPr="002F579F">
              <w:rPr>
                <w:rFonts w:ascii="Arial" w:hAnsi="Arial" w:cs="Arial"/>
                <w:sz w:val="16"/>
                <w:szCs w:val="16"/>
              </w:rPr>
              <w:t>ara la población joven (15 a 29</w:t>
            </w:r>
            <w:r w:rsidR="003E79B7" w:rsidRPr="002F579F">
              <w:rPr>
                <w:rFonts w:ascii="Arial" w:hAnsi="Arial" w:cs="Arial"/>
                <w:sz w:val="16"/>
                <w:szCs w:val="16"/>
              </w:rPr>
              <w:t xml:space="preserve"> años)</w:t>
            </w:r>
            <w:r w:rsidRPr="002F579F">
              <w:rPr>
                <w:rFonts w:ascii="Arial" w:hAnsi="Arial" w:cs="Arial"/>
                <w:sz w:val="16"/>
                <w:szCs w:val="16"/>
              </w:rPr>
              <w:t>.</w:t>
            </w:r>
            <w:r w:rsidR="003E79B7" w:rsidRPr="002F579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AE033A3" w14:textId="77777777" w:rsidR="003E79B7" w:rsidRPr="002F579F" w:rsidRDefault="003D61C1" w:rsidP="004D24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Educación media superior</w:t>
            </w:r>
            <w:r w:rsidR="004D24C4" w:rsidRPr="002F579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F579F">
              <w:rPr>
                <w:rFonts w:ascii="Arial" w:hAnsi="Arial" w:cs="Arial"/>
                <w:b/>
                <w:sz w:val="16"/>
                <w:szCs w:val="16"/>
              </w:rPr>
              <w:t>=</w:t>
            </w:r>
            <w:r w:rsidR="004D24C4" w:rsidRPr="002F57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2F04A2" w:rsidRPr="002F579F">
              <w:rPr>
                <w:rFonts w:ascii="Arial" w:hAnsi="Arial" w:cs="Arial"/>
                <w:sz w:val="16"/>
                <w:szCs w:val="16"/>
              </w:rPr>
              <w:t>para la</w:t>
            </w:r>
            <w:r w:rsidR="003E79B7" w:rsidRPr="002F579F">
              <w:rPr>
                <w:rFonts w:ascii="Arial" w:hAnsi="Arial" w:cs="Arial"/>
                <w:sz w:val="16"/>
                <w:szCs w:val="16"/>
              </w:rPr>
              <w:t xml:space="preserve"> población adulta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 (</w:t>
            </w:r>
            <w:smartTag w:uri="urn:schemas-microsoft-com:office:smarttags" w:element="metricconverter">
              <w:smartTagPr>
                <w:attr w:name="ProductID" w:val="25 a"/>
              </w:smartTagPr>
              <w:r w:rsidRPr="002F579F">
                <w:rPr>
                  <w:rFonts w:ascii="Arial" w:hAnsi="Arial" w:cs="Arial"/>
                  <w:sz w:val="16"/>
                  <w:szCs w:val="16"/>
                </w:rPr>
                <w:t>25 a</w:t>
              </w:r>
            </w:smartTag>
            <w:r w:rsidRPr="002F579F">
              <w:rPr>
                <w:rFonts w:ascii="Arial" w:hAnsi="Arial" w:cs="Arial"/>
                <w:sz w:val="16"/>
                <w:szCs w:val="16"/>
              </w:rPr>
              <w:t xml:space="preserve"> 64 años).</w:t>
            </w:r>
          </w:p>
        </w:tc>
      </w:tr>
      <w:tr w:rsidR="002F579F" w:rsidRPr="002F579F" w14:paraId="4B3B1A23" w14:textId="77777777" w:rsidTr="00B97A30">
        <w:trPr>
          <w:trHeight w:val="1530"/>
        </w:trPr>
        <w:tc>
          <w:tcPr>
            <w:tcW w:w="5000" w:type="pct"/>
            <w:vMerge w:val="restart"/>
          </w:tcPr>
          <w:p w14:paraId="262A2D73" w14:textId="77777777" w:rsidR="003E79B7" w:rsidRPr="002F579F" w:rsidRDefault="003E79B7" w:rsidP="007A79A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Fó</w:t>
            </w:r>
            <w:r w:rsidR="009A3325" w:rsidRPr="002F579F">
              <w:rPr>
                <w:rFonts w:ascii="Arial" w:hAnsi="Arial" w:cs="Arial"/>
                <w:b/>
                <w:sz w:val="16"/>
                <w:szCs w:val="16"/>
              </w:rPr>
              <w:t>rmula de cálculo</w:t>
            </w:r>
          </w:p>
          <w:p w14:paraId="3B1E62B4" w14:textId="77777777" w:rsidR="003E79B7" w:rsidRPr="002F579F" w:rsidRDefault="00950B7F" w:rsidP="007A79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579F">
              <w:rPr>
                <w:rFonts w:ascii="Arial" w:hAnsi="Arial" w:cs="Arial"/>
                <w:position w:val="-42"/>
                <w:sz w:val="16"/>
                <w:szCs w:val="16"/>
              </w:rPr>
              <w:object w:dxaOrig="560" w:dyaOrig="999" w14:anchorId="7AFAFE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50.25pt" o:ole="">
                  <v:imagedata r:id="rId7" o:title=""/>
                </v:shape>
                <o:OLEObject Type="Embed" ProgID="Equation.3" ShapeID="_x0000_i1025" DrawAspect="Content" ObjectID="_1618938311" r:id="rId8"/>
              </w:object>
            </w:r>
            <w:r w:rsidR="003E79B7" w:rsidRPr="002F579F">
              <w:rPr>
                <w:rFonts w:ascii="Arial" w:hAnsi="Arial" w:cs="Arial"/>
                <w:position w:val="-10"/>
                <w:sz w:val="16"/>
                <w:szCs w:val="16"/>
              </w:rPr>
              <w:object w:dxaOrig="160" w:dyaOrig="300" w14:anchorId="0A14047A">
                <v:shape id="_x0000_i1026" type="#_x0000_t75" style="width:8.25pt;height:15pt" o:ole="">
                  <v:imagedata r:id="rId9" o:title=""/>
                </v:shape>
                <o:OLEObject Type="Embed" ProgID="Equation.3" ShapeID="_x0000_i1026" DrawAspect="Content" ObjectID="_1618938312" r:id="rId10"/>
              </w:object>
            </w:r>
          </w:p>
          <w:tbl>
            <w:tblPr>
              <w:tblW w:w="4826" w:type="pct"/>
              <w:jc w:val="center"/>
              <w:tblLook w:val="01E0" w:firstRow="1" w:lastRow="1" w:firstColumn="1" w:lastColumn="1" w:noHBand="0" w:noVBand="0"/>
            </w:tblPr>
            <w:tblGrid>
              <w:gridCol w:w="1238"/>
              <w:gridCol w:w="8171"/>
            </w:tblGrid>
            <w:tr w:rsidR="002F579F" w:rsidRPr="002F579F" w14:paraId="15D87B78" w14:textId="77777777" w:rsidTr="007A79AE">
              <w:trPr>
                <w:trHeight w:val="285"/>
                <w:jc w:val="center"/>
              </w:trPr>
              <w:tc>
                <w:tcPr>
                  <w:tcW w:w="658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14:paraId="4597D2FD" w14:textId="77777777" w:rsidR="00950B7F" w:rsidRDefault="00950B7F" w:rsidP="007A79A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  <w:p w14:paraId="47A4D727" w14:textId="77777777" w:rsidR="003E79B7" w:rsidRPr="002F579F" w:rsidRDefault="003E79B7" w:rsidP="007A79A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2F579F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</w:p>
              </w:tc>
              <w:tc>
                <w:tcPr>
                  <w:tcW w:w="4342" w:type="pct"/>
                  <w:vAlign w:val="center"/>
                </w:tcPr>
                <w:p w14:paraId="19DEDD32" w14:textId="77777777" w:rsidR="003E79B7" w:rsidRPr="002F579F" w:rsidRDefault="000527A8" w:rsidP="003D61C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>Grupo</w:t>
                  </w:r>
                  <w:r w:rsidR="003E79B7"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de edad</w:t>
                  </w:r>
                  <w:r w:rsidR="00AB1B88" w:rsidRPr="002F579F">
                    <w:rPr>
                      <w:rFonts w:ascii="Arial" w:hAnsi="Arial" w:cs="Arial"/>
                      <w:sz w:val="16"/>
                      <w:szCs w:val="16"/>
                    </w:rPr>
                    <w:t>: jóvenes de 15 a 29</w:t>
                  </w:r>
                  <w:r w:rsidR="003D61C1"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años y a</w:t>
                  </w:r>
                  <w:r w:rsidR="003E79B7" w:rsidRPr="002F579F">
                    <w:rPr>
                      <w:rFonts w:ascii="Arial" w:hAnsi="Arial" w:cs="Arial"/>
                      <w:sz w:val="16"/>
                      <w:szCs w:val="16"/>
                    </w:rPr>
                    <w:t>dultos</w:t>
                  </w:r>
                  <w:r w:rsidR="003D61C1"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de </w:t>
                  </w:r>
                  <w:smartTag w:uri="urn:schemas-microsoft-com:office:smarttags" w:element="metricconverter">
                    <w:smartTagPr>
                      <w:attr w:name="ProductID" w:val="25 a"/>
                    </w:smartTagPr>
                    <w:r w:rsidR="003E79B7" w:rsidRPr="002F579F">
                      <w:rPr>
                        <w:rFonts w:ascii="Arial" w:hAnsi="Arial" w:cs="Arial"/>
                        <w:sz w:val="16"/>
                        <w:szCs w:val="16"/>
                      </w:rPr>
                      <w:t>25 a</w:t>
                    </w:r>
                  </w:smartTag>
                  <w:r w:rsidR="003E79B7"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64 años</w:t>
                  </w:r>
                  <w:r w:rsidR="003D61C1" w:rsidRPr="002F579F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2F579F" w:rsidRPr="002F579F" w14:paraId="4CAB3309" w14:textId="77777777" w:rsidTr="007A79AE">
              <w:trPr>
                <w:jc w:val="center"/>
              </w:trPr>
              <w:tc>
                <w:tcPr>
                  <w:tcW w:w="658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14:paraId="2D0555D4" w14:textId="77777777" w:rsidR="003E79B7" w:rsidRPr="002F579F" w:rsidRDefault="003E79B7" w:rsidP="007A79A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2F579F">
                    <w:rPr>
                      <w:rFonts w:ascii="Arial" w:hAnsi="Arial" w:cs="Arial"/>
                      <w:i/>
                      <w:sz w:val="16"/>
                      <w:szCs w:val="16"/>
                    </w:rPr>
                    <w:t>niv</w:t>
                  </w:r>
                </w:p>
              </w:tc>
              <w:tc>
                <w:tcPr>
                  <w:tcW w:w="4342" w:type="pct"/>
                  <w:vAlign w:val="center"/>
                </w:tcPr>
                <w:p w14:paraId="40BA7870" w14:textId="60D76441" w:rsidR="003E79B7" w:rsidRPr="002F579F" w:rsidRDefault="003E79B7" w:rsidP="001720F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>Nivel de escolaridad alcanzado</w:t>
                  </w:r>
                  <w:r w:rsidR="001720F5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2</w:t>
                  </w:r>
                  <w:r w:rsidR="00AB1B88" w:rsidRPr="002F579F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  <w:r w:rsidR="001720F5">
                    <w:rPr>
                      <w:rFonts w:ascii="Arial" w:hAnsi="Arial" w:cs="Arial"/>
                      <w:sz w:val="16"/>
                      <w:szCs w:val="16"/>
                    </w:rPr>
                    <w:t xml:space="preserve"> s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in </w:t>
                  </w:r>
                  <w:r w:rsidR="00C135B6" w:rsidRPr="002F579F">
                    <w:rPr>
                      <w:rFonts w:ascii="Arial" w:hAnsi="Arial" w:cs="Arial"/>
                      <w:sz w:val="16"/>
                      <w:szCs w:val="16"/>
                    </w:rPr>
                    <w:t>básica, básica, media superior o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superior.</w:t>
                  </w:r>
                </w:p>
              </w:tc>
            </w:tr>
            <w:tr w:rsidR="002F579F" w:rsidRPr="002F579F" w14:paraId="62B483F5" w14:textId="77777777" w:rsidTr="007A79AE">
              <w:trPr>
                <w:trHeight w:val="57"/>
                <w:jc w:val="center"/>
              </w:trPr>
              <w:tc>
                <w:tcPr>
                  <w:tcW w:w="658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D1ABA5" w14:textId="77777777" w:rsidR="003E79B7" w:rsidRPr="002F579F" w:rsidRDefault="0031719C" w:rsidP="007A7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79F">
                    <w:rPr>
                      <w:position w:val="-6"/>
                    </w:rPr>
                    <w:object w:dxaOrig="499" w:dyaOrig="499" w14:anchorId="3DAF9BE2">
                      <v:shape id="_x0000_i1027" type="#_x0000_t75" style="width:25.5pt;height:25.5pt" o:ole="">
                        <v:imagedata r:id="rId11" o:title=""/>
                      </v:shape>
                      <o:OLEObject Type="Embed" ProgID="Equation.3" ShapeID="_x0000_i1027" DrawAspect="Content" ObjectID="_1618938313" r:id="rId12"/>
                    </w:object>
                  </w:r>
                </w:p>
              </w:tc>
              <w:tc>
                <w:tcPr>
                  <w:tcW w:w="4342" w:type="pct"/>
                  <w:vAlign w:val="center"/>
                </w:tcPr>
                <w:p w14:paraId="2CB2CECE" w14:textId="77777777" w:rsidR="003E79B7" w:rsidRPr="002F579F" w:rsidRDefault="003E79B7" w:rsidP="0034170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Promedio del salario horario recibido </w:t>
                  </w:r>
                  <w:r w:rsidR="0034170D" w:rsidRPr="002F579F">
                    <w:rPr>
                      <w:rFonts w:ascii="Arial" w:hAnsi="Arial" w:cs="Arial"/>
                      <w:sz w:val="16"/>
                      <w:szCs w:val="16"/>
                    </w:rPr>
                    <w:t>por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la población </w:t>
                  </w:r>
                  <w:r w:rsidR="0034170D" w:rsidRPr="002F579F">
                    <w:rPr>
                      <w:rFonts w:ascii="Arial" w:hAnsi="Arial" w:cs="Arial"/>
                      <w:sz w:val="16"/>
                      <w:szCs w:val="16"/>
                    </w:rPr>
                    <w:t>en el grupo de edad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2F579F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y nivel de escolaridad </w:t>
                  </w:r>
                  <w:r w:rsidRPr="002F579F">
                    <w:rPr>
                      <w:rFonts w:ascii="Arial" w:hAnsi="Arial" w:cs="Arial"/>
                      <w:i/>
                      <w:sz w:val="16"/>
                      <w:szCs w:val="16"/>
                    </w:rPr>
                    <w:t>niv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2F579F" w:rsidRPr="002F579F" w14:paraId="30215FFC" w14:textId="77777777" w:rsidTr="007A79AE">
              <w:trPr>
                <w:trHeight w:val="38"/>
                <w:jc w:val="center"/>
              </w:trPr>
              <w:tc>
                <w:tcPr>
                  <w:tcW w:w="658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374703" w14:textId="77777777" w:rsidR="003E79B7" w:rsidRPr="002F579F" w:rsidRDefault="0034170D" w:rsidP="007A7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79F">
                    <w:rPr>
                      <w:position w:val="-6"/>
                    </w:rPr>
                    <w:object w:dxaOrig="499" w:dyaOrig="460" w14:anchorId="14FBF94E">
                      <v:shape id="_x0000_i1028" type="#_x0000_t75" style="width:25.5pt;height:24.75pt" o:ole="">
                        <v:imagedata r:id="rId13" o:title=""/>
                      </v:shape>
                      <o:OLEObject Type="Embed" ProgID="Equation.3" ShapeID="_x0000_i1028" DrawAspect="Content" ObjectID="_1618938314" r:id="rId14"/>
                    </w:object>
                  </w:r>
                </w:p>
              </w:tc>
              <w:tc>
                <w:tcPr>
                  <w:tcW w:w="4342" w:type="pct"/>
                  <w:vAlign w:val="center"/>
                </w:tcPr>
                <w:p w14:paraId="5DAC2557" w14:textId="77777777" w:rsidR="003E79B7" w:rsidRPr="002F579F" w:rsidRDefault="003E79B7" w:rsidP="007A7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Promedio del salario horario percibido por </w:t>
                  </w:r>
                  <w:r w:rsidR="0034170D"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la población en 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el grupo de edad </w:t>
                  </w:r>
                  <w:r w:rsidRPr="002F579F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 xml:space="preserve"> que ha cubierto el nivel educativo de referencia </w:t>
                  </w:r>
                  <w:r w:rsidRPr="002F579F">
                    <w:rPr>
                      <w:rFonts w:ascii="Arial" w:hAnsi="Arial" w:cs="Arial"/>
                      <w:i/>
                      <w:sz w:val="16"/>
                      <w:szCs w:val="16"/>
                    </w:rPr>
                    <w:t>n</w:t>
                  </w:r>
                  <w:r w:rsidR="0034170D" w:rsidRPr="002F579F">
                    <w:rPr>
                      <w:rFonts w:ascii="Arial" w:hAnsi="Arial" w:cs="Arial"/>
                      <w:i/>
                      <w:sz w:val="16"/>
                      <w:szCs w:val="16"/>
                    </w:rPr>
                    <w:t>r</w:t>
                  </w: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2F579F" w:rsidRPr="002F579F" w14:paraId="3EAB310E" w14:textId="77777777" w:rsidTr="001579B6">
              <w:trPr>
                <w:trHeight w:val="38"/>
                <w:jc w:val="center"/>
              </w:trPr>
              <w:tc>
                <w:tcPr>
                  <w:tcW w:w="658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14:paraId="0B6C172C" w14:textId="77777777" w:rsidR="0034170D" w:rsidRPr="002F579F" w:rsidDel="00024058" w:rsidRDefault="0034170D" w:rsidP="001579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2F579F">
                    <w:rPr>
                      <w:rFonts w:ascii="Arial" w:hAnsi="Arial" w:cs="Arial"/>
                      <w:i/>
                      <w:sz w:val="16"/>
                      <w:szCs w:val="16"/>
                    </w:rPr>
                    <w:t>nr</w:t>
                  </w:r>
                </w:p>
              </w:tc>
              <w:tc>
                <w:tcPr>
                  <w:tcW w:w="4342" w:type="pct"/>
                  <w:vAlign w:val="center"/>
                </w:tcPr>
                <w:p w14:paraId="4CC1B78B" w14:textId="77777777" w:rsidR="0034170D" w:rsidRPr="002F579F" w:rsidRDefault="004C0C98" w:rsidP="001579B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79F">
                    <w:rPr>
                      <w:rFonts w:ascii="Arial" w:hAnsi="Arial" w:cs="Arial"/>
                      <w:sz w:val="16"/>
                      <w:szCs w:val="16"/>
                    </w:rPr>
                    <w:t>Nivel educativo de referencia: b</w:t>
                  </w:r>
                  <w:r w:rsidR="0034170D" w:rsidRPr="002F579F">
                    <w:rPr>
                      <w:rFonts w:ascii="Arial" w:hAnsi="Arial" w:cs="Arial"/>
                      <w:sz w:val="16"/>
                      <w:szCs w:val="16"/>
                    </w:rPr>
                    <w:t>ásica (población joven), media superior (población adulta).</w:t>
                  </w:r>
                </w:p>
              </w:tc>
            </w:tr>
          </w:tbl>
          <w:p w14:paraId="4885AC98" w14:textId="77777777" w:rsidR="003E79B7" w:rsidRPr="002F579F" w:rsidRDefault="003E79B7" w:rsidP="007A79A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F579F" w:rsidRPr="002F579F" w14:paraId="38294EEB" w14:textId="77777777" w:rsidTr="00B97A30">
        <w:trPr>
          <w:trHeight w:val="563"/>
        </w:trPr>
        <w:tc>
          <w:tcPr>
            <w:tcW w:w="5000" w:type="pct"/>
            <w:vMerge/>
          </w:tcPr>
          <w:p w14:paraId="35667F2A" w14:textId="77777777" w:rsidR="003E79B7" w:rsidRPr="002F579F" w:rsidRDefault="003E79B7" w:rsidP="007A79AE">
            <w:pPr>
              <w:ind w:right="-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579F" w:rsidRPr="002F579F" w14:paraId="58D6C8AF" w14:textId="77777777" w:rsidTr="00C23895">
        <w:trPr>
          <w:trHeight w:val="1588"/>
        </w:trPr>
        <w:tc>
          <w:tcPr>
            <w:tcW w:w="5000" w:type="pct"/>
          </w:tcPr>
          <w:p w14:paraId="23C54CFD" w14:textId="77777777" w:rsidR="003E79B7" w:rsidRPr="002F579F" w:rsidRDefault="009A3325" w:rsidP="007A79A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Interpretación</w:t>
            </w:r>
          </w:p>
          <w:p w14:paraId="6327418D" w14:textId="35677F9C" w:rsidR="003E79B7" w:rsidRPr="002F579F" w:rsidRDefault="003E79B7" w:rsidP="007A79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sz w:val="16"/>
                <w:szCs w:val="16"/>
              </w:rPr>
              <w:t xml:space="preserve">Este indicador muestra la ventaja salarial relativa de la población joven o adulta que ha alcanzado niveles de escolaridad por arriba de los de referencia (educación básica para los jóvenes y </w:t>
            </w:r>
            <w:r w:rsidR="00BB5CDB">
              <w:rPr>
                <w:rFonts w:ascii="Arial" w:hAnsi="Arial" w:cs="Arial"/>
                <w:sz w:val="16"/>
                <w:szCs w:val="16"/>
              </w:rPr>
              <w:t>EMS</w:t>
            </w:r>
            <w:r w:rsidR="008C2F1F" w:rsidRPr="002F57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para los adultos). </w:t>
            </w:r>
            <w:r w:rsidR="004C0C98" w:rsidRPr="002F579F">
              <w:rPr>
                <w:rFonts w:ascii="Arial" w:hAnsi="Arial" w:cs="Arial"/>
                <w:sz w:val="16"/>
                <w:szCs w:val="16"/>
              </w:rPr>
              <w:t>De manera similar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135B6" w:rsidRPr="005E03AE">
              <w:rPr>
                <w:rFonts w:ascii="Arial" w:hAnsi="Arial" w:cs="Arial"/>
                <w:sz w:val="16"/>
                <w:szCs w:val="16"/>
              </w:rPr>
              <w:t xml:space="preserve">muestra </w:t>
            </w:r>
            <w:r w:rsidRPr="005E03AE">
              <w:rPr>
                <w:rFonts w:ascii="Arial" w:hAnsi="Arial" w:cs="Arial"/>
                <w:sz w:val="16"/>
                <w:szCs w:val="16"/>
              </w:rPr>
              <w:t xml:space="preserve">la desventaja salarial de quienes no han alcanzado dichos niveles de referencia. Por ejemplo, para la población joven con determinada </w:t>
            </w:r>
            <w:r w:rsidR="006E4EA1" w:rsidRPr="005E03AE">
              <w:rPr>
                <w:rFonts w:ascii="Arial" w:hAnsi="Arial" w:cs="Arial"/>
                <w:sz w:val="16"/>
                <w:szCs w:val="16"/>
              </w:rPr>
              <w:t>escolaridad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 un valor de 0</w:t>
            </w:r>
            <w:r w:rsidR="00C135B6" w:rsidRPr="002F579F">
              <w:rPr>
                <w:rFonts w:ascii="Arial" w:hAnsi="Arial" w:cs="Arial"/>
                <w:sz w:val="16"/>
                <w:szCs w:val="16"/>
              </w:rPr>
              <w:t>.8 significaría que</w:t>
            </w:r>
            <w:r w:rsidR="00A539D1">
              <w:rPr>
                <w:rFonts w:ascii="Arial" w:hAnsi="Arial" w:cs="Arial"/>
                <w:sz w:val="16"/>
                <w:szCs w:val="16"/>
              </w:rPr>
              <w:t>,</w:t>
            </w:r>
            <w:r w:rsidR="00C135B6" w:rsidRPr="002F579F">
              <w:rPr>
                <w:rFonts w:ascii="Arial" w:hAnsi="Arial" w:cs="Arial"/>
                <w:sz w:val="16"/>
                <w:szCs w:val="16"/>
              </w:rPr>
              <w:t xml:space="preserve"> en promedio</w:t>
            </w:r>
            <w:r w:rsidR="00A539D1">
              <w:rPr>
                <w:rFonts w:ascii="Arial" w:hAnsi="Arial" w:cs="Arial"/>
                <w:sz w:val="16"/>
                <w:szCs w:val="16"/>
              </w:rPr>
              <w:t>,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 quienes se encuentran en dicho nivel recibieron sólo 80% del monto total percibido por quienes compl</w:t>
            </w:r>
            <w:r w:rsidR="00DD5386" w:rsidRPr="002F579F">
              <w:rPr>
                <w:rFonts w:ascii="Arial" w:hAnsi="Arial" w:cs="Arial"/>
                <w:sz w:val="16"/>
                <w:szCs w:val="16"/>
              </w:rPr>
              <w:t>etaron la educación básica. Asi</w:t>
            </w:r>
            <w:r w:rsidRPr="002F579F">
              <w:rPr>
                <w:rFonts w:ascii="Arial" w:hAnsi="Arial" w:cs="Arial"/>
                <w:sz w:val="16"/>
                <w:szCs w:val="16"/>
              </w:rPr>
              <w:t>mismo, 1.2 significaría que recibieron 20% más que</w:t>
            </w:r>
            <w:r w:rsidR="00BB5CDB">
              <w:rPr>
                <w:rFonts w:ascii="Arial" w:hAnsi="Arial" w:cs="Arial"/>
                <w:sz w:val="16"/>
                <w:szCs w:val="16"/>
              </w:rPr>
              <w:t xml:space="preserve"> en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 dicho nivel de referencia.</w:t>
            </w:r>
          </w:p>
          <w:p w14:paraId="740AAE8A" w14:textId="77777777" w:rsidR="003E79B7" w:rsidRPr="002F579F" w:rsidRDefault="003E79B7" w:rsidP="008D06B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sz w:val="16"/>
                <w:szCs w:val="16"/>
              </w:rPr>
              <w:t xml:space="preserve">El indicador toma en cuenta que la población </w:t>
            </w:r>
            <w:r w:rsidR="006D6909" w:rsidRPr="002F579F">
              <w:rPr>
                <w:rFonts w:ascii="Arial" w:hAnsi="Arial" w:cs="Arial"/>
                <w:sz w:val="16"/>
                <w:szCs w:val="16"/>
              </w:rPr>
              <w:t>joven (15 a 29</w:t>
            </w:r>
            <w:r w:rsidR="00DD5386" w:rsidRPr="002F579F">
              <w:rPr>
                <w:rFonts w:ascii="Arial" w:hAnsi="Arial" w:cs="Arial"/>
                <w:sz w:val="16"/>
                <w:szCs w:val="16"/>
              </w:rPr>
              <w:t xml:space="preserve"> años) ya debería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 de haber completado la educación básica y que la población adulta (</w:t>
            </w:r>
            <w:smartTag w:uri="urn:schemas-microsoft-com:office:smarttags" w:element="metricconverter">
              <w:smartTagPr>
                <w:attr w:name="ProductID" w:val="25 a"/>
              </w:smartTagPr>
              <w:r w:rsidRPr="002F579F">
                <w:rPr>
                  <w:rFonts w:ascii="Arial" w:hAnsi="Arial" w:cs="Arial"/>
                  <w:sz w:val="16"/>
                  <w:szCs w:val="16"/>
                </w:rPr>
                <w:t>25 a</w:t>
              </w:r>
            </w:smartTag>
            <w:r w:rsidRPr="002F579F">
              <w:rPr>
                <w:rFonts w:ascii="Arial" w:hAnsi="Arial" w:cs="Arial"/>
                <w:sz w:val="16"/>
                <w:szCs w:val="16"/>
              </w:rPr>
              <w:t xml:space="preserve"> 64 años) ya </w:t>
            </w:r>
            <w:r w:rsidR="008D06BA" w:rsidRPr="002F579F">
              <w:rPr>
                <w:rFonts w:ascii="Arial" w:hAnsi="Arial" w:cs="Arial"/>
                <w:sz w:val="16"/>
                <w:szCs w:val="16"/>
              </w:rPr>
              <w:t xml:space="preserve">debería de haber </w:t>
            </w:r>
            <w:r w:rsidRPr="002F579F">
              <w:rPr>
                <w:rFonts w:ascii="Arial" w:hAnsi="Arial" w:cs="Arial"/>
                <w:sz w:val="16"/>
                <w:szCs w:val="16"/>
              </w:rPr>
              <w:t>concluido su tránsito por el sistema educativo.</w:t>
            </w:r>
          </w:p>
        </w:tc>
      </w:tr>
      <w:tr w:rsidR="002F579F" w:rsidRPr="002F579F" w14:paraId="4B321A3D" w14:textId="77777777" w:rsidTr="00B97A30">
        <w:trPr>
          <w:trHeight w:val="164"/>
        </w:trPr>
        <w:tc>
          <w:tcPr>
            <w:tcW w:w="5000" w:type="pct"/>
          </w:tcPr>
          <w:p w14:paraId="42DDD8C9" w14:textId="77777777" w:rsidR="003E79B7" w:rsidRPr="002F579F" w:rsidRDefault="009A3325" w:rsidP="007A79A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Utilidad</w:t>
            </w:r>
          </w:p>
          <w:p w14:paraId="53D2707C" w14:textId="7801C38D" w:rsidR="003E79B7" w:rsidRPr="002F579F" w:rsidRDefault="003E79B7" w:rsidP="00A539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sz w:val="16"/>
                <w:szCs w:val="16"/>
              </w:rPr>
              <w:t xml:space="preserve">Es una medida que </w:t>
            </w:r>
            <w:r w:rsidR="00A539D1">
              <w:rPr>
                <w:rFonts w:ascii="Arial" w:hAnsi="Arial" w:cs="Arial"/>
                <w:sz w:val="16"/>
                <w:szCs w:val="16"/>
              </w:rPr>
              <w:t>permite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 observar la relación de la escolaridad con las percepciones salariales de las personas. Si el salario aumenta con la escolaridad, ello reflejaría cierta coherencia entre la escolarización y las expectativas sociales e individuales </w:t>
            </w:r>
            <w:r w:rsidRPr="005E03AE">
              <w:rPr>
                <w:rFonts w:ascii="Arial" w:hAnsi="Arial" w:cs="Arial"/>
                <w:sz w:val="16"/>
                <w:szCs w:val="16"/>
              </w:rPr>
              <w:t>que consideran</w:t>
            </w:r>
            <w:r w:rsidRPr="002F579F">
              <w:rPr>
                <w:rFonts w:ascii="Arial" w:hAnsi="Arial" w:cs="Arial"/>
                <w:sz w:val="16"/>
                <w:szCs w:val="16"/>
              </w:rPr>
              <w:t xml:space="preserve"> la educación como un recurso para mejorar las condiciones de vida.</w:t>
            </w:r>
          </w:p>
        </w:tc>
      </w:tr>
      <w:tr w:rsidR="002F579F" w:rsidRPr="002F579F" w14:paraId="42E6C176" w14:textId="77777777" w:rsidTr="00C23895">
        <w:trPr>
          <w:trHeight w:val="374"/>
        </w:trPr>
        <w:tc>
          <w:tcPr>
            <w:tcW w:w="5000" w:type="pct"/>
          </w:tcPr>
          <w:p w14:paraId="5C258427" w14:textId="77777777" w:rsidR="003E79B7" w:rsidRPr="002F579F" w:rsidRDefault="003E79B7" w:rsidP="007A79A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Ofrece elementos para evaluar las siguientes dimensi</w:t>
            </w:r>
            <w:r w:rsidR="009A3325" w:rsidRPr="002F579F">
              <w:rPr>
                <w:rFonts w:ascii="Arial" w:hAnsi="Arial" w:cs="Arial"/>
                <w:b/>
                <w:sz w:val="16"/>
                <w:szCs w:val="16"/>
              </w:rPr>
              <w:t xml:space="preserve">ones de </w:t>
            </w:r>
            <w:r w:rsidR="00A539D1">
              <w:rPr>
                <w:rFonts w:ascii="Arial" w:hAnsi="Arial" w:cs="Arial"/>
                <w:b/>
                <w:sz w:val="16"/>
                <w:szCs w:val="16"/>
              </w:rPr>
              <w:t xml:space="preserve">la </w:t>
            </w:r>
            <w:r w:rsidR="009A3325" w:rsidRPr="002F579F">
              <w:rPr>
                <w:rFonts w:ascii="Arial" w:hAnsi="Arial" w:cs="Arial"/>
                <w:b/>
                <w:sz w:val="16"/>
                <w:szCs w:val="16"/>
              </w:rPr>
              <w:t>calidad</w:t>
            </w:r>
            <w:r w:rsidR="008C2F1F" w:rsidRPr="002F579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A3325" w:rsidRPr="002F579F">
              <w:rPr>
                <w:rFonts w:ascii="Arial" w:hAnsi="Arial" w:cs="Arial"/>
                <w:b/>
                <w:sz w:val="16"/>
                <w:szCs w:val="16"/>
              </w:rPr>
              <w:t>educativa</w:t>
            </w:r>
          </w:p>
          <w:p w14:paraId="264BBEE3" w14:textId="04C5158C" w:rsidR="003E79B7" w:rsidRPr="002F579F" w:rsidRDefault="003E79B7" w:rsidP="007A79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sz w:val="16"/>
                <w:szCs w:val="16"/>
              </w:rPr>
              <w:t>Impacto, pertinencia y relevancia de la educación</w:t>
            </w:r>
          </w:p>
        </w:tc>
      </w:tr>
      <w:tr w:rsidR="003E79B7" w:rsidRPr="002F579F" w14:paraId="117B8E35" w14:textId="77777777" w:rsidTr="00C23895">
        <w:trPr>
          <w:trHeight w:val="4392"/>
        </w:trPr>
        <w:tc>
          <w:tcPr>
            <w:tcW w:w="5000" w:type="pct"/>
          </w:tcPr>
          <w:p w14:paraId="2998B225" w14:textId="77777777" w:rsidR="003E79B7" w:rsidRPr="002F579F" w:rsidRDefault="006A2177" w:rsidP="007A79AE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Desagregación</w:t>
            </w:r>
          </w:p>
          <w:p w14:paraId="61F70CF5" w14:textId="087ECDF3" w:rsidR="00C15A65" w:rsidRPr="002F579F" w:rsidRDefault="00781F7D" w:rsidP="00C15A65">
            <w:pPr>
              <w:ind w:right="108"/>
              <w:rPr>
                <w:rFonts w:ascii="Arial" w:hAnsi="Arial" w:cs="Arial"/>
                <w:sz w:val="16"/>
                <w:szCs w:val="16"/>
              </w:rPr>
            </w:pPr>
            <w:r w:rsidRPr="002F579F">
              <w:rPr>
                <w:rFonts w:ascii="Arial" w:hAnsi="Arial" w:cs="Arial"/>
                <w:sz w:val="16"/>
                <w:szCs w:val="16"/>
              </w:rPr>
              <w:t xml:space="preserve">Este indicador se presenta en las siguientes desagregaciones: </w:t>
            </w:r>
            <w:r w:rsidR="00D97925">
              <w:rPr>
                <w:rFonts w:ascii="Arial" w:hAnsi="Arial" w:cs="Arial"/>
                <w:sz w:val="16"/>
                <w:szCs w:val="16"/>
              </w:rPr>
              <w:t>e</w:t>
            </w:r>
            <w:r w:rsidR="00C15A65" w:rsidRPr="002F579F">
              <w:rPr>
                <w:rFonts w:ascii="Arial" w:hAnsi="Arial" w:cs="Arial"/>
                <w:sz w:val="16"/>
                <w:szCs w:val="16"/>
              </w:rPr>
              <w:t>ntidad federativa, sexo, tamaño de localidad</w:t>
            </w:r>
            <w:r w:rsidR="00C15A65" w:rsidRPr="002F579F">
              <w:rPr>
                <w:rFonts w:ascii="Arial (W1)" w:hAnsi="Arial (W1)" w:cs="Arial"/>
                <w:sz w:val="16"/>
                <w:szCs w:val="16"/>
                <w:vertAlign w:val="superscript"/>
              </w:rPr>
              <w:t>3</w:t>
            </w:r>
            <w:r w:rsidR="00C15A65" w:rsidRPr="002F579F">
              <w:rPr>
                <w:rFonts w:ascii="Arial" w:hAnsi="Arial" w:cs="Arial"/>
                <w:sz w:val="16"/>
                <w:szCs w:val="16"/>
              </w:rPr>
              <w:t xml:space="preserve"> y subgrupos de edad (jóvenes de</w:t>
            </w:r>
            <w:r w:rsidR="004C0C98" w:rsidRPr="002F57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15A65" w:rsidRPr="002F579F">
              <w:rPr>
                <w:rFonts w:ascii="Arial" w:hAnsi="Arial" w:cs="Arial"/>
                <w:sz w:val="16"/>
                <w:szCs w:val="16"/>
              </w:rPr>
              <w:t xml:space="preserve">15 </w:t>
            </w:r>
            <w:r w:rsidR="008C2F1F" w:rsidRPr="002F579F">
              <w:rPr>
                <w:rFonts w:ascii="Arial" w:hAnsi="Arial" w:cs="Arial"/>
                <w:sz w:val="16"/>
                <w:szCs w:val="16"/>
              </w:rPr>
              <w:t>a 19, 20 a 24 y 25 a 29 años</w:t>
            </w:r>
            <w:r w:rsidR="00892DC5">
              <w:rPr>
                <w:rFonts w:ascii="Arial" w:hAnsi="Arial" w:cs="Arial"/>
                <w:sz w:val="16"/>
                <w:szCs w:val="16"/>
              </w:rPr>
              <w:t>,</w:t>
            </w:r>
            <w:r w:rsidR="008C2F1F" w:rsidRPr="002F579F">
              <w:rPr>
                <w:rFonts w:ascii="Arial" w:hAnsi="Arial" w:cs="Arial"/>
                <w:sz w:val="16"/>
                <w:szCs w:val="16"/>
              </w:rPr>
              <w:t xml:space="preserve"> y </w:t>
            </w:r>
            <w:r w:rsidR="00C15A65" w:rsidRPr="002F579F">
              <w:rPr>
                <w:rFonts w:ascii="Arial" w:hAnsi="Arial" w:cs="Arial"/>
                <w:sz w:val="16"/>
                <w:szCs w:val="16"/>
              </w:rPr>
              <w:t xml:space="preserve">adultos de </w:t>
            </w:r>
            <w:smartTag w:uri="urn:schemas-microsoft-com:office:smarttags" w:element="metricconverter">
              <w:smartTagPr>
                <w:attr w:name="ProductID" w:val="25 a"/>
              </w:smartTagPr>
              <w:r w:rsidR="00C15A65" w:rsidRPr="002F579F">
                <w:rPr>
                  <w:rFonts w:ascii="Arial" w:hAnsi="Arial" w:cs="Arial"/>
                  <w:sz w:val="16"/>
                  <w:szCs w:val="16"/>
                </w:rPr>
                <w:t>25 a</w:t>
              </w:r>
            </w:smartTag>
            <w:r w:rsidR="00C15A65" w:rsidRPr="002F579F">
              <w:rPr>
                <w:rFonts w:ascii="Arial" w:hAnsi="Arial" w:cs="Arial"/>
                <w:sz w:val="16"/>
                <w:szCs w:val="16"/>
              </w:rPr>
              <w:t xml:space="preserve"> 44 y </w:t>
            </w:r>
            <w:smartTag w:uri="urn:schemas-microsoft-com:office:smarttags" w:element="metricconverter">
              <w:smartTagPr>
                <w:attr w:name="ProductID" w:val="45 a"/>
              </w:smartTagPr>
              <w:r w:rsidR="00C15A65" w:rsidRPr="002F579F">
                <w:rPr>
                  <w:rFonts w:ascii="Arial" w:hAnsi="Arial" w:cs="Arial"/>
                  <w:sz w:val="16"/>
                  <w:szCs w:val="16"/>
                </w:rPr>
                <w:t>45 a</w:t>
              </w:r>
            </w:smartTag>
            <w:r w:rsidR="00C15A65" w:rsidRPr="002F579F">
              <w:rPr>
                <w:rFonts w:ascii="Arial" w:hAnsi="Arial" w:cs="Arial"/>
                <w:sz w:val="16"/>
                <w:szCs w:val="16"/>
              </w:rPr>
              <w:t xml:space="preserve"> 64 años).</w:t>
            </w:r>
          </w:p>
          <w:p w14:paraId="0D7117CD" w14:textId="6DFA31E6" w:rsidR="00A00BB1" w:rsidRDefault="00A00BB1" w:rsidP="009644E4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0617B36" w14:textId="325948BB" w:rsidR="00A00BB1" w:rsidRPr="00931EFD" w:rsidRDefault="00A00BB1" w:rsidP="00931EFD">
            <w:pPr>
              <w:pStyle w:val="Prrafodelista"/>
              <w:numPr>
                <w:ilvl w:val="0"/>
                <w:numId w:val="1"/>
              </w:numPr>
              <w:ind w:left="227" w:hanging="22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31EFD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="00781F7D" w:rsidRPr="00931EFD">
              <w:rPr>
                <w:rFonts w:ascii="Arial" w:hAnsi="Arial" w:cs="Arial"/>
                <w:b/>
                <w:sz w:val="16"/>
                <w:szCs w:val="16"/>
              </w:rPr>
              <w:t xml:space="preserve">áximo </w:t>
            </w:r>
            <w:r w:rsidR="00D97925" w:rsidRPr="00931EFD">
              <w:rPr>
                <w:rFonts w:ascii="Arial" w:hAnsi="Arial" w:cs="Arial"/>
                <w:b/>
                <w:sz w:val="16"/>
                <w:szCs w:val="16"/>
              </w:rPr>
              <w:t xml:space="preserve">nivel </w:t>
            </w:r>
            <w:r w:rsidR="00781F7D" w:rsidRPr="00931EFD">
              <w:rPr>
                <w:rFonts w:ascii="Arial" w:hAnsi="Arial" w:cs="Arial"/>
                <w:b/>
                <w:sz w:val="16"/>
                <w:szCs w:val="16"/>
              </w:rPr>
              <w:t>de desagregación</w:t>
            </w:r>
          </w:p>
          <w:p w14:paraId="21AFEE63" w14:textId="6CC94057" w:rsidR="00347648" w:rsidRPr="005E03AE" w:rsidRDefault="00036EBB" w:rsidP="009644E4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03AE">
              <w:rPr>
                <w:rFonts w:ascii="Arial" w:hAnsi="Arial" w:cs="Arial"/>
                <w:sz w:val="16"/>
                <w:szCs w:val="16"/>
              </w:rPr>
              <w:t xml:space="preserve">Entidad federativa y 32 ciudades </w:t>
            </w:r>
            <w:r w:rsidRPr="005E03AE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auto</w:t>
            </w:r>
            <w:r w:rsidR="00BA6AEB" w:rsidRPr="005E03AE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r</w:t>
            </w:r>
            <w:r w:rsidRPr="005E03AE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representadas de 100 000 habitantes o más</w:t>
            </w:r>
            <w:r w:rsidR="0034764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.</w:t>
            </w:r>
            <w:r w:rsidRPr="005E03AE">
              <w:rPr>
                <w:rFonts w:ascii="Arial" w:hAnsi="Arial" w:cs="Arial"/>
                <w:sz w:val="16"/>
                <w:szCs w:val="16"/>
                <w:shd w:val="clear" w:color="auto" w:fill="FFFFFF"/>
                <w:vertAlign w:val="superscript"/>
              </w:rPr>
              <w:t>4</w:t>
            </w:r>
            <w:r w:rsidR="00892DC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DB8F2D6" w14:textId="7FB6483B" w:rsidR="009644E4" w:rsidRPr="002F579F" w:rsidRDefault="00347648" w:rsidP="009644E4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="009644E4" w:rsidRPr="005E03AE">
              <w:rPr>
                <w:rFonts w:ascii="Arial" w:hAnsi="Arial" w:cs="Arial"/>
                <w:sz w:val="16"/>
                <w:szCs w:val="16"/>
              </w:rPr>
              <w:t>ocalidades de 100</w:t>
            </w:r>
            <w:r w:rsidR="009644E4" w:rsidRPr="002F579F">
              <w:rPr>
                <w:rFonts w:ascii="Arial" w:hAnsi="Arial" w:cs="Arial"/>
                <w:sz w:val="16"/>
                <w:szCs w:val="16"/>
              </w:rPr>
              <w:t xml:space="preserve"> 000 y más habitantes, de 15 000 a 99 999 habitantes, de 2 500 a 14 999 habitantes y de menos de 2 500 habitantes.</w:t>
            </w:r>
          </w:p>
          <w:p w14:paraId="1B48E1CC" w14:textId="79A716D7" w:rsidR="009644E4" w:rsidRPr="002F579F" w:rsidRDefault="009644E4" w:rsidP="00C15A65">
            <w:pPr>
              <w:ind w:right="108"/>
              <w:rPr>
                <w:rFonts w:ascii="Arial" w:hAnsi="Arial" w:cs="Arial"/>
                <w:sz w:val="16"/>
                <w:szCs w:val="16"/>
              </w:rPr>
            </w:pPr>
          </w:p>
          <w:p w14:paraId="560B11B8" w14:textId="3C6A4A0D" w:rsidR="003E79B7" w:rsidRPr="002F579F" w:rsidRDefault="003E79B7" w:rsidP="007A79AE">
            <w:pPr>
              <w:spacing w:before="40"/>
              <w:ind w:right="108"/>
              <w:rPr>
                <w:rFonts w:ascii="Arial" w:hAnsi="Arial" w:cs="Arial"/>
                <w:b/>
                <w:sz w:val="16"/>
                <w:szCs w:val="16"/>
              </w:rPr>
            </w:pPr>
            <w:r w:rsidRPr="002F579F">
              <w:rPr>
                <w:rFonts w:ascii="Arial" w:hAnsi="Arial" w:cs="Arial"/>
                <w:b/>
                <w:sz w:val="16"/>
                <w:szCs w:val="16"/>
              </w:rPr>
              <w:t>Fuente</w:t>
            </w:r>
            <w:r w:rsidR="00AE191E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2F579F">
              <w:rPr>
                <w:rFonts w:ascii="Arial" w:hAnsi="Arial" w:cs="Arial"/>
                <w:b/>
                <w:sz w:val="16"/>
                <w:szCs w:val="16"/>
              </w:rPr>
              <w:t xml:space="preserve"> de información</w:t>
            </w:r>
          </w:p>
          <w:p w14:paraId="56F7A50D" w14:textId="77777777" w:rsidR="00AE191E" w:rsidRDefault="00AE191E" w:rsidP="007A79AE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6"/>
                <w:szCs w:val="16"/>
              </w:rPr>
            </w:pPr>
            <w:r w:rsidRPr="00931EFD">
              <w:rPr>
                <w:rFonts w:cs="Arial"/>
                <w:caps/>
                <w:sz w:val="16"/>
                <w:szCs w:val="16"/>
              </w:rPr>
              <w:t>Inegi</w:t>
            </w:r>
            <w:r w:rsidRPr="00FC6F38">
              <w:rPr>
                <w:rFonts w:cs="Arial"/>
                <w:sz w:val="16"/>
                <w:szCs w:val="16"/>
              </w:rPr>
              <w:t xml:space="preserve"> (2013). Encuesta Nacional de Ocupación y Empleo</w:t>
            </w:r>
            <w:r w:rsidRPr="00AE191E">
              <w:rPr>
                <w:rFonts w:cs="Arial"/>
                <w:sz w:val="16"/>
                <w:szCs w:val="16"/>
              </w:rPr>
              <w:t>, 2º</w:t>
            </w:r>
            <w:r w:rsidRPr="009D0DAC">
              <w:rPr>
                <w:rFonts w:cs="Arial"/>
                <w:sz w:val="16"/>
                <w:szCs w:val="16"/>
              </w:rPr>
              <w:t xml:space="preserve"> trimestre de 201</w:t>
            </w:r>
            <w:r>
              <w:rPr>
                <w:rFonts w:cs="Arial"/>
                <w:sz w:val="16"/>
                <w:szCs w:val="16"/>
              </w:rPr>
              <w:t>3</w:t>
            </w:r>
            <w:r w:rsidRPr="009D0DAC">
              <w:rPr>
                <w:rFonts w:cs="Arial"/>
                <w:sz w:val="16"/>
                <w:szCs w:val="16"/>
              </w:rPr>
              <w:t xml:space="preserve"> </w:t>
            </w:r>
            <w:r w:rsidRPr="002F579F">
              <w:rPr>
                <w:rFonts w:cs="Arial"/>
                <w:sz w:val="16"/>
                <w:szCs w:val="16"/>
              </w:rPr>
              <w:t xml:space="preserve">(base de </w:t>
            </w:r>
            <w:proofErr w:type="spellStart"/>
            <w:r w:rsidRPr="002F579F">
              <w:rPr>
                <w:rFonts w:cs="Arial"/>
                <w:sz w:val="16"/>
                <w:szCs w:val="16"/>
              </w:rPr>
              <w:t>microdatos</w:t>
            </w:r>
            <w:proofErr w:type="spellEnd"/>
            <w:r w:rsidRPr="002F579F">
              <w:rPr>
                <w:rFonts w:cs="Arial"/>
                <w:sz w:val="16"/>
                <w:szCs w:val="16"/>
              </w:rPr>
              <w:t>).</w:t>
            </w:r>
          </w:p>
          <w:p w14:paraId="01B3AC0B" w14:textId="448254AF" w:rsidR="003E79B7" w:rsidRPr="00931EFD" w:rsidRDefault="00D97925" w:rsidP="007A79AE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6"/>
                <w:szCs w:val="16"/>
              </w:rPr>
            </w:pPr>
            <w:r w:rsidRPr="00931EFD">
              <w:rPr>
                <w:rFonts w:cs="Arial"/>
                <w:caps/>
                <w:sz w:val="16"/>
                <w:szCs w:val="16"/>
              </w:rPr>
              <w:t>Inegi</w:t>
            </w:r>
            <w:r w:rsidRPr="002F579F">
              <w:rPr>
                <w:rFonts w:cs="Arial"/>
                <w:sz w:val="16"/>
                <w:szCs w:val="16"/>
              </w:rPr>
              <w:t xml:space="preserve"> </w:t>
            </w:r>
            <w:r w:rsidR="006436B3" w:rsidRPr="002F579F">
              <w:rPr>
                <w:rFonts w:cs="Arial"/>
                <w:sz w:val="16"/>
                <w:szCs w:val="16"/>
              </w:rPr>
              <w:t>(201</w:t>
            </w:r>
            <w:r w:rsidR="00D331E7">
              <w:rPr>
                <w:rFonts w:cs="Arial"/>
                <w:sz w:val="16"/>
                <w:szCs w:val="16"/>
              </w:rPr>
              <w:t>8</w:t>
            </w:r>
            <w:r w:rsidR="00AE191E">
              <w:rPr>
                <w:rFonts w:cs="Arial"/>
                <w:sz w:val="16"/>
                <w:szCs w:val="16"/>
              </w:rPr>
              <w:t>a</w:t>
            </w:r>
            <w:r w:rsidR="003E79B7" w:rsidRPr="002F579F">
              <w:rPr>
                <w:rFonts w:cs="Arial"/>
                <w:sz w:val="16"/>
                <w:szCs w:val="16"/>
              </w:rPr>
              <w:t xml:space="preserve">). </w:t>
            </w:r>
            <w:r w:rsidR="003E79B7" w:rsidRPr="00931EFD">
              <w:rPr>
                <w:rFonts w:cs="Arial"/>
                <w:sz w:val="16"/>
                <w:szCs w:val="16"/>
              </w:rPr>
              <w:t>Encuesta N</w:t>
            </w:r>
            <w:r w:rsidR="001A41FE" w:rsidRPr="00931EFD">
              <w:rPr>
                <w:rFonts w:cs="Arial"/>
                <w:sz w:val="16"/>
                <w:szCs w:val="16"/>
              </w:rPr>
              <w:t>acional de Ocupación y Empleo</w:t>
            </w:r>
            <w:r w:rsidR="001A41FE" w:rsidRPr="00AE191E">
              <w:rPr>
                <w:rFonts w:cs="Arial"/>
                <w:sz w:val="16"/>
                <w:szCs w:val="16"/>
              </w:rPr>
              <w:t>, 2</w:t>
            </w:r>
            <w:r w:rsidR="008C2F1F" w:rsidRPr="00AE191E">
              <w:rPr>
                <w:rFonts w:cs="Arial"/>
                <w:sz w:val="16"/>
                <w:szCs w:val="16"/>
              </w:rPr>
              <w:t xml:space="preserve">º trimestre </w:t>
            </w:r>
            <w:r w:rsidR="00A26678" w:rsidRPr="00AE191E">
              <w:rPr>
                <w:rFonts w:cs="Arial"/>
                <w:sz w:val="16"/>
                <w:szCs w:val="16"/>
              </w:rPr>
              <w:t xml:space="preserve">de </w:t>
            </w:r>
            <w:r w:rsidR="006436B3" w:rsidRPr="00AE191E">
              <w:rPr>
                <w:rFonts w:cs="Arial"/>
                <w:sz w:val="16"/>
                <w:szCs w:val="16"/>
              </w:rPr>
              <w:t>201</w:t>
            </w:r>
            <w:r w:rsidR="00D331E7" w:rsidRPr="00AE191E">
              <w:rPr>
                <w:rFonts w:cs="Arial"/>
                <w:sz w:val="16"/>
                <w:szCs w:val="16"/>
              </w:rPr>
              <w:t>8</w:t>
            </w:r>
            <w:r w:rsidR="003E79B7" w:rsidRPr="005E1931">
              <w:rPr>
                <w:rFonts w:cs="Arial"/>
                <w:sz w:val="16"/>
                <w:szCs w:val="16"/>
              </w:rPr>
              <w:t xml:space="preserve"> </w:t>
            </w:r>
            <w:r w:rsidR="009A6C39" w:rsidRPr="005E1931">
              <w:rPr>
                <w:rFonts w:cs="Arial"/>
                <w:sz w:val="16"/>
                <w:szCs w:val="16"/>
              </w:rPr>
              <w:t>(b</w:t>
            </w:r>
            <w:r w:rsidR="003E79B7" w:rsidRPr="005E1931">
              <w:rPr>
                <w:rFonts w:cs="Arial"/>
                <w:sz w:val="16"/>
                <w:szCs w:val="16"/>
              </w:rPr>
              <w:t>ase de microdatos).</w:t>
            </w:r>
          </w:p>
          <w:p w14:paraId="69D40D2D" w14:textId="598217DA" w:rsidR="004C5858" w:rsidRPr="002F579F" w:rsidRDefault="004C5858" w:rsidP="004C5858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i/>
                <w:sz w:val="16"/>
                <w:szCs w:val="16"/>
              </w:rPr>
            </w:pPr>
          </w:p>
          <w:p w14:paraId="64DBE08F" w14:textId="77777777" w:rsidR="009644E4" w:rsidRPr="002F579F" w:rsidRDefault="009644E4" w:rsidP="007A79AE">
            <w:pPr>
              <w:pStyle w:val="Encabezado"/>
              <w:tabs>
                <w:tab w:val="left" w:pos="4500"/>
                <w:tab w:val="left" w:pos="4680"/>
              </w:tabs>
              <w:spacing w:before="40"/>
              <w:ind w:right="113"/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242C17D" w14:textId="77777777" w:rsidR="003E79B7" w:rsidRPr="002F579F" w:rsidRDefault="003E79B7" w:rsidP="007A79AE">
            <w:pPr>
              <w:pStyle w:val="Encabezado"/>
              <w:tabs>
                <w:tab w:val="left" w:pos="4500"/>
                <w:tab w:val="left" w:pos="4680"/>
              </w:tabs>
              <w:spacing w:before="40"/>
              <w:ind w:right="113"/>
              <w:jc w:val="both"/>
              <w:rPr>
                <w:rFonts w:cs="Arial"/>
                <w:sz w:val="16"/>
                <w:szCs w:val="16"/>
              </w:rPr>
            </w:pPr>
            <w:r w:rsidRPr="002F579F">
              <w:rPr>
                <w:rFonts w:cs="Arial"/>
                <w:b/>
                <w:sz w:val="16"/>
                <w:szCs w:val="16"/>
              </w:rPr>
              <w:t>Notas</w:t>
            </w:r>
          </w:p>
          <w:p w14:paraId="3605CCB3" w14:textId="56256E93" w:rsidR="00233A59" w:rsidRPr="002F579F" w:rsidRDefault="00233A59" w:rsidP="00233A5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2F579F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1 </w:t>
            </w:r>
            <w:r w:rsidR="004C695B" w:rsidRPr="002F579F">
              <w:rPr>
                <w:rFonts w:ascii="Arial" w:hAnsi="Arial" w:cs="Arial"/>
                <w:sz w:val="12"/>
                <w:szCs w:val="12"/>
              </w:rPr>
              <w:t xml:space="preserve">El concepto de salario </w:t>
            </w:r>
            <w:r w:rsidR="009D0DAC">
              <w:rPr>
                <w:rFonts w:ascii="Arial" w:hAnsi="Arial" w:cs="Arial"/>
                <w:sz w:val="12"/>
                <w:szCs w:val="12"/>
              </w:rPr>
              <w:t xml:space="preserve">del que se parte </w:t>
            </w:r>
            <w:r w:rsidR="004C695B" w:rsidRPr="002F579F">
              <w:rPr>
                <w:rFonts w:ascii="Arial" w:hAnsi="Arial" w:cs="Arial"/>
                <w:sz w:val="12"/>
                <w:szCs w:val="12"/>
              </w:rPr>
              <w:t xml:space="preserve">incluye las categorías de sueldo fijo, salario y jornal consideradas en el instrumento de la </w:t>
            </w:r>
            <w:r w:rsidR="004C695B" w:rsidRPr="002F579F">
              <w:rPr>
                <w:rFonts w:ascii="Arial" w:hAnsi="Arial" w:cs="Arial"/>
                <w:i/>
                <w:sz w:val="12"/>
                <w:szCs w:val="12"/>
              </w:rPr>
              <w:t>Encuesta Nacional de Ocupación y Empleo</w:t>
            </w:r>
            <w:r w:rsidRPr="002F579F">
              <w:rPr>
                <w:rFonts w:ascii="Arial" w:hAnsi="Arial" w:cs="Arial"/>
                <w:sz w:val="12"/>
                <w:szCs w:val="12"/>
              </w:rPr>
              <w:t>.</w:t>
            </w:r>
            <w:r w:rsidR="004C695B" w:rsidRPr="002F579F">
              <w:rPr>
                <w:rFonts w:ascii="Arial" w:hAnsi="Arial" w:cs="Arial"/>
                <w:sz w:val="12"/>
                <w:szCs w:val="12"/>
              </w:rPr>
              <w:t xml:space="preserve"> Excluye a quienes no reciben pago alguno por sus servicios. El cálculo sólo involucra a los asalariados subordinados.</w:t>
            </w:r>
          </w:p>
          <w:p w14:paraId="178AC546" w14:textId="4CBF0FBB" w:rsidR="00CA3D36" w:rsidRPr="002F579F" w:rsidRDefault="00CA3D36" w:rsidP="00CA3D36">
            <w:pPr>
              <w:pStyle w:val="HTMLconformatoprevio"/>
              <w:jc w:val="both"/>
            </w:pPr>
            <w:r w:rsidRPr="002F579F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2 </w:t>
            </w:r>
            <w:r w:rsidRPr="002F579F">
              <w:rPr>
                <w:rFonts w:ascii="Arial" w:hAnsi="Arial" w:cs="Arial"/>
                <w:sz w:val="12"/>
                <w:szCs w:val="12"/>
              </w:rPr>
              <w:t xml:space="preserve">Los </w:t>
            </w:r>
            <w:r w:rsidRPr="002F579F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niveles de escolaridad incluyen a quienes tienen estudios formales como sigue: </w:t>
            </w:r>
            <w:r w:rsidRPr="002F579F">
              <w:rPr>
                <w:rFonts w:ascii="Arial" w:hAnsi="Arial" w:cs="Arial"/>
                <w:i/>
                <w:sz w:val="12"/>
                <w:szCs w:val="12"/>
                <w:lang w:val="es-ES" w:eastAsia="es-ES"/>
              </w:rPr>
              <w:t>sin básica</w:t>
            </w:r>
            <w:r w:rsidRPr="002F579F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(sin escolaridad, preescolar, primaria incompleta y grado no específico, secundaria incompleta y grado no específico, normal o carrera técnica comercial con antecedente de 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primaria y grados 1-2 y no especificados; </w:t>
            </w:r>
            <w:r w:rsidRPr="009D0DAC">
              <w:rPr>
                <w:rFonts w:ascii="Arial" w:hAnsi="Arial" w:cs="Arial"/>
                <w:i/>
                <w:sz w:val="12"/>
                <w:szCs w:val="12"/>
                <w:lang w:val="es-ES" w:eastAsia="es-ES"/>
              </w:rPr>
              <w:t xml:space="preserve">básica 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(secundaria completa, bachillerato incompleto y grado no específico, normal o técnica comercial con antecedente de secundaria con grados 1-2 y no especificados, técnico comerc</w:t>
            </w:r>
            <w:r w:rsidR="004D24C4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ial con antecedente primaria y tres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o más grados; </w:t>
            </w:r>
            <w:r w:rsidRPr="009D0DAC">
              <w:rPr>
                <w:rFonts w:ascii="Arial" w:hAnsi="Arial" w:cs="Arial"/>
                <w:i/>
                <w:sz w:val="12"/>
                <w:szCs w:val="12"/>
                <w:lang w:val="es-ES" w:eastAsia="es-ES"/>
              </w:rPr>
              <w:t xml:space="preserve">media superior 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(bachillerato completo, licenciatura incompleta y grado no específico, técnico comercial con antecedente bachillerato y grados 1-2 y no especificados, normal con antecedente primaria y </w:t>
            </w:r>
            <w:r w:rsidR="004D24C4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tres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o más grados, normal con antecedente de secundaria y </w:t>
            </w:r>
            <w:r w:rsidR="004D24C4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tres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o más grados, normal con antecedente de bachillerato y </w:t>
            </w:r>
            <w:r w:rsidR="004D24C4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uno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a </w:t>
            </w:r>
            <w:r w:rsidR="004D24C4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tres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grados,</w:t>
            </w:r>
            <w:r w:rsidR="008C2F1F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técnico comercial c</w:t>
            </w:r>
            <w:r w:rsidR="004D24C4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on antecedente de secundaria y tres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o más con grados); </w:t>
            </w:r>
            <w:r w:rsidRPr="009D0DAC">
              <w:rPr>
                <w:rFonts w:ascii="Arial" w:hAnsi="Arial" w:cs="Arial"/>
                <w:i/>
                <w:sz w:val="12"/>
                <w:szCs w:val="12"/>
                <w:lang w:val="es-ES" w:eastAsia="es-ES"/>
              </w:rPr>
              <w:t xml:space="preserve">superior 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(técnico comercial con antecedente bachillerato y </w:t>
            </w:r>
            <w:r w:rsidR="004D24C4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tres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o con grados, normal con antecedente bachillerato </w:t>
            </w:r>
            <w:r w:rsidR="004D24C4"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>y cuatro</w:t>
            </w:r>
            <w:r w:rsidRPr="009D0DAC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o más grados, licenciatura completa, maestría y doctorado incompleto y completo).</w:t>
            </w:r>
          </w:p>
          <w:p w14:paraId="41BEC487" w14:textId="548D067A" w:rsidR="002439A0" w:rsidRPr="002F579F" w:rsidRDefault="00CA3D36" w:rsidP="00CA3D36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2"/>
                <w:szCs w:val="12"/>
                <w:shd w:val="clear" w:color="auto" w:fill="FFFFFF"/>
              </w:rPr>
            </w:pPr>
            <w:r w:rsidRPr="002F579F">
              <w:rPr>
                <w:rFonts w:ascii="Arial (W1)" w:hAnsi="Arial (W1)" w:cs="Arial"/>
                <w:sz w:val="12"/>
                <w:szCs w:val="12"/>
                <w:shd w:val="clear" w:color="auto" w:fill="FFFFFF"/>
                <w:vertAlign w:val="superscript"/>
              </w:rPr>
              <w:t>3</w:t>
            </w:r>
            <w:r w:rsidRPr="002F579F">
              <w:rPr>
                <w:rFonts w:cs="Arial"/>
                <w:sz w:val="12"/>
                <w:szCs w:val="12"/>
                <w:shd w:val="clear" w:color="auto" w:fill="FFFFFF"/>
              </w:rPr>
              <w:t xml:space="preserve"> El tamaño de localidad urbana incluye localidades de 15 </w:t>
            </w:r>
            <w:r w:rsidR="00D97925">
              <w:rPr>
                <w:rFonts w:cs="Arial"/>
                <w:sz w:val="12"/>
                <w:szCs w:val="12"/>
                <w:shd w:val="clear" w:color="auto" w:fill="FFFFFF"/>
              </w:rPr>
              <w:t>000</w:t>
            </w:r>
            <w:r w:rsidRPr="002F579F">
              <w:rPr>
                <w:rFonts w:cs="Arial"/>
                <w:sz w:val="12"/>
                <w:szCs w:val="12"/>
                <w:shd w:val="clear" w:color="auto" w:fill="FFFFFF"/>
              </w:rPr>
              <w:t xml:space="preserve"> o más habitantes; semiurbana, localidades entre 2 500</w:t>
            </w:r>
            <w:r w:rsidR="008C2F1F" w:rsidRPr="002F579F">
              <w:rPr>
                <w:rFonts w:cs="Arial"/>
                <w:sz w:val="12"/>
                <w:szCs w:val="12"/>
                <w:shd w:val="clear" w:color="auto" w:fill="FFFFFF"/>
              </w:rPr>
              <w:t xml:space="preserve"> </w:t>
            </w:r>
            <w:r w:rsidRPr="002F579F">
              <w:rPr>
                <w:rFonts w:cs="Arial"/>
                <w:sz w:val="12"/>
                <w:szCs w:val="12"/>
                <w:shd w:val="clear" w:color="auto" w:fill="FFFFFF"/>
              </w:rPr>
              <w:t xml:space="preserve">y menos de 15 </w:t>
            </w:r>
            <w:r w:rsidR="00D97925">
              <w:rPr>
                <w:rFonts w:cs="Arial"/>
                <w:sz w:val="12"/>
                <w:szCs w:val="12"/>
                <w:shd w:val="clear" w:color="auto" w:fill="FFFFFF"/>
              </w:rPr>
              <w:t>000</w:t>
            </w:r>
            <w:r w:rsidRPr="002F579F">
              <w:rPr>
                <w:rFonts w:cs="Arial"/>
                <w:sz w:val="12"/>
                <w:szCs w:val="12"/>
                <w:shd w:val="clear" w:color="auto" w:fill="FFFFFF"/>
              </w:rPr>
              <w:t xml:space="preserve"> habitantes; rural, localidades con menos de 2 500 habitantes.</w:t>
            </w:r>
          </w:p>
          <w:p w14:paraId="4E864E6D" w14:textId="1064AE49" w:rsidR="0047172D" w:rsidRPr="002F579F" w:rsidRDefault="0047172D" w:rsidP="007773A2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  <w:lang w:val="es-MX"/>
              </w:rPr>
            </w:pPr>
            <w:r w:rsidRPr="002F579F">
              <w:rPr>
                <w:rFonts w:cs="Arial"/>
                <w:sz w:val="12"/>
                <w:szCs w:val="12"/>
                <w:vertAlign w:val="superscript"/>
              </w:rPr>
              <w:t xml:space="preserve">4 </w:t>
            </w:r>
            <w:r w:rsidRPr="002F579F">
              <w:rPr>
                <w:rFonts w:cs="Arial"/>
                <w:sz w:val="12"/>
                <w:szCs w:val="12"/>
              </w:rPr>
              <w:t xml:space="preserve">El listado de ciudades se encuentra en el documento </w:t>
            </w:r>
            <w:r w:rsidRPr="002F579F">
              <w:rPr>
                <w:rFonts w:cs="Arial"/>
                <w:i/>
                <w:sz w:val="12"/>
                <w:szCs w:val="12"/>
              </w:rPr>
              <w:t xml:space="preserve">Cómo se hace la ENOE: Métodos y </w:t>
            </w:r>
            <w:r w:rsidR="007773A2">
              <w:rPr>
                <w:rFonts w:cs="Arial"/>
                <w:i/>
                <w:sz w:val="12"/>
                <w:szCs w:val="12"/>
              </w:rPr>
              <w:t>p</w:t>
            </w:r>
            <w:r w:rsidRPr="002F579F">
              <w:rPr>
                <w:rFonts w:cs="Arial"/>
                <w:i/>
                <w:sz w:val="12"/>
                <w:szCs w:val="12"/>
              </w:rPr>
              <w:t>rocedimientos</w:t>
            </w:r>
            <w:r w:rsidR="005F5980">
              <w:rPr>
                <w:rFonts w:cs="Arial"/>
                <w:sz w:val="12"/>
                <w:szCs w:val="12"/>
              </w:rPr>
              <w:t xml:space="preserve"> (</w:t>
            </w:r>
            <w:r w:rsidR="005F5980" w:rsidRPr="00931EFD">
              <w:rPr>
                <w:rFonts w:cs="Arial"/>
                <w:caps/>
                <w:sz w:val="12"/>
                <w:szCs w:val="12"/>
              </w:rPr>
              <w:t>Inegi</w:t>
            </w:r>
            <w:r w:rsidR="005F5980">
              <w:rPr>
                <w:rFonts w:cs="Arial"/>
                <w:sz w:val="12"/>
                <w:szCs w:val="12"/>
              </w:rPr>
              <w:t>, 2007)</w:t>
            </w:r>
            <w:r w:rsidR="00D97925">
              <w:rPr>
                <w:rFonts w:cs="Arial"/>
                <w:sz w:val="12"/>
                <w:szCs w:val="12"/>
              </w:rPr>
              <w:t>.</w:t>
            </w:r>
          </w:p>
        </w:tc>
      </w:tr>
    </w:tbl>
    <w:p w14:paraId="4C0B3C3A" w14:textId="30C54529" w:rsidR="00A06714" w:rsidRPr="002F579F" w:rsidRDefault="00A06714" w:rsidP="0037055B">
      <w:pPr>
        <w:rPr>
          <w:szCs w:val="14"/>
        </w:rPr>
      </w:pPr>
    </w:p>
    <w:p w14:paraId="2F66A98D" w14:textId="78CD19B7" w:rsidR="004C0C98" w:rsidRDefault="004C0C98" w:rsidP="00BD755D">
      <w:pPr>
        <w:rPr>
          <w:szCs w:val="14"/>
        </w:rPr>
      </w:pPr>
    </w:p>
    <w:p w14:paraId="6F607864" w14:textId="62F7785B" w:rsidR="0048083F" w:rsidRDefault="0048083F" w:rsidP="00BD755D">
      <w:pPr>
        <w:rPr>
          <w:szCs w:val="14"/>
        </w:rPr>
      </w:pPr>
    </w:p>
    <w:p w14:paraId="10834577" w14:textId="55030B2E" w:rsidR="004C0C98" w:rsidRPr="002F579F" w:rsidRDefault="00C23895" w:rsidP="00BD755D">
      <w:pPr>
        <w:rPr>
          <w:szCs w:val="14"/>
        </w:rPr>
      </w:pPr>
      <w:r w:rsidRPr="002F579F">
        <w:rPr>
          <w:noProof/>
          <w:lang w:val="es-419" w:eastAsia="es-419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97F4C3" wp14:editId="4C410318">
                <wp:simplePos x="0" y="0"/>
                <wp:positionH relativeFrom="column">
                  <wp:posOffset>11430</wp:posOffset>
                </wp:positionH>
                <wp:positionV relativeFrom="paragraph">
                  <wp:posOffset>93483</wp:posOffset>
                </wp:positionV>
                <wp:extent cx="6508115" cy="4381169"/>
                <wp:effectExtent l="0" t="0" r="26035" b="1968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8115" cy="4381169"/>
                        </a:xfrm>
                        <a:prstGeom prst="roundRect">
                          <a:avLst>
                            <a:gd name="adj" fmla="val 61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5E91E9" w14:textId="77777777" w:rsidR="00AB5F28" w:rsidRDefault="003E79B7" w:rsidP="00AB5F28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  <w:r w:rsidR="009A332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eferente de evaluación</w:t>
                            </w:r>
                            <w:r w:rsidR="003761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B4C5DFD" w14:textId="37B47E2B" w:rsidR="005F14D4" w:rsidRDefault="003E79B7" w:rsidP="00C23895">
                            <w:pPr>
                              <w:spacing w:after="40"/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El salario relativo para las escolaridades por arriba del nivel de referencia (educación básica en el caso de los jóvenes y </w:t>
                            </w:r>
                            <w:r w:rsidR="005E193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EMS</w:t>
                            </w:r>
                            <w:r w:rsidR="004C0C9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para los adultos) deberá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ser mayor que la unidad si se cumple la premisa de que el criterio orientador de la educación </w:t>
                            </w:r>
                            <w:r w:rsidR="0018314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“</w:t>
                            </w:r>
                            <w:r w:rsidRPr="0018314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será democrático, considerando a la democracia no solamente como una estructura jurídica y un régimen político, sino como un sistema de vida fundado en el constante mejoramiento económico, social y cultural del pueblo</w:t>
                            </w:r>
                            <w:r w:rsidR="0018314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”</w:t>
                            </w:r>
                            <w:r w:rsidRPr="0018314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03B5BEEC" w14:textId="77777777" w:rsidR="00BA1EF8" w:rsidRDefault="00BA1EF8" w:rsidP="00AB5F28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5E6DFCB7" w14:textId="1C530909" w:rsidR="00C24A35" w:rsidRPr="00311567" w:rsidRDefault="005F14D4" w:rsidP="009D0DAC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Ver a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rtículo 3º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fracción II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C24A35" w:rsidRPr="009D0DA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inciso a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C24A35" w:rsidRPr="009D0DA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la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9A3325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C5194B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C5194B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7F1D73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27</w:t>
                            </w:r>
                            <w:r w:rsidR="007F1D73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agosto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)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y a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rtículo 8º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fracción I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la </w:t>
                            </w:r>
                            <w:r w:rsidR="009A3325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LGE</w:t>
                            </w:r>
                            <w:r w:rsidR="005E193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C5194B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201</w:t>
                            </w:r>
                            <w:r w:rsidR="0018352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8</w:t>
                            </w:r>
                            <w:r w:rsidR="00C5194B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="007F1D73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8352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19</w:t>
                            </w:r>
                            <w:r w:rsidR="007F1D73" w:rsidRPr="007F1D7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183525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enero</w:t>
                            </w:r>
                            <w:r w:rsidR="00C24A35" w:rsidRPr="0058504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).</w:t>
                            </w:r>
                          </w:p>
                          <w:p w14:paraId="3C84F34A" w14:textId="77777777" w:rsidR="003E79B7" w:rsidRDefault="003E79B7" w:rsidP="0037055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3762C8F" w14:textId="77777777" w:rsidR="004C0C98" w:rsidRDefault="004C0C98" w:rsidP="0037055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7983925" w14:textId="770A5D3C" w:rsidR="004C0C98" w:rsidRDefault="009A3325" w:rsidP="0037055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C30C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  <w:r w:rsidR="0038353D" w:rsidRPr="008C30C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3A7BD8E" w14:textId="351FED0B" w:rsidR="00663789" w:rsidRDefault="00663789" w:rsidP="0037055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D8A6A6A" w14:textId="04FEF504" w:rsidR="00663789" w:rsidRDefault="00663789" w:rsidP="0037055B">
                            <w:pPr>
                              <w:spacing w:after="40"/>
                              <w:ind w:right="108"/>
                              <w:rPr>
                                <w:sz w:val="20"/>
                                <w:szCs w:val="20"/>
                                <w:lang w:eastAsia="es-MX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LINK Excel.Sheet.12 "Libro1" "Hoja1!F5C1:F18C4" \a \f 4 \h  \* MERGEFORMAT </w:instrText>
                            </w:r>
                            <w:r>
                              <w:fldChar w:fldCharType="separate"/>
                            </w:r>
                          </w:p>
                          <w:tbl>
                            <w:tblPr>
                              <w:tblW w:w="9498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41"/>
                              <w:gridCol w:w="3171"/>
                              <w:gridCol w:w="1701"/>
                              <w:gridCol w:w="1985"/>
                            </w:tblGrid>
                            <w:tr w:rsidR="00663789" w:rsidRPr="00663789" w14:paraId="780A917A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0167170" w14:textId="13E6D47D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Ingresos laborales relativos de la población entre 25 y 64 años de edad</w:t>
                                  </w:r>
                                  <w:r w:rsidR="00C23895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 xml:space="preserve"> (2016)</w:t>
                                  </w:r>
                                </w:p>
                              </w:tc>
                            </w:tr>
                            <w:tr w:rsidR="00663789" w:rsidRPr="00663789" w14:paraId="0F073233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F4D8842" w14:textId="77777777" w:rsidR="00663789" w:rsidRPr="00663789" w:rsidRDefault="00663789" w:rsidP="0066378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País</w:t>
                                  </w:r>
                                </w:p>
                              </w:tc>
                              <w:tc>
                                <w:tcPr>
                                  <w:tcW w:w="317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C7143F0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Sin media superior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048209B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Media superior</w:t>
                                  </w: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vertAlign w:val="superscript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A17D305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Superior</w:t>
                                  </w: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vertAlign w:val="superscript"/>
                                      <w:lang w:eastAsia="es-MX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63789" w:rsidRPr="00663789" w14:paraId="1FA5BFBF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1D77AA" w14:textId="77777777" w:rsidR="00663789" w:rsidRPr="00663789" w:rsidRDefault="00663789" w:rsidP="0066378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Canadá</w:t>
                                  </w:r>
                                </w:p>
                              </w:tc>
                              <w:tc>
                                <w:tcPr>
                                  <w:tcW w:w="3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5F8483E1" w14:textId="10F1930A" w:rsidR="00663789" w:rsidRPr="00663789" w:rsidRDefault="00D331E7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0.83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9C447BF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A0151A2" w14:textId="16B5B42F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1.44</w:t>
                                  </w:r>
                                </w:p>
                              </w:tc>
                            </w:tr>
                            <w:tr w:rsidR="00663789" w:rsidRPr="00663789" w14:paraId="6E738ABD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4B9BAA9" w14:textId="77777777" w:rsidR="00663789" w:rsidRPr="00663789" w:rsidRDefault="00663789" w:rsidP="0066378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Chile</w:t>
                                  </w:r>
                                </w:p>
                              </w:tc>
                              <w:tc>
                                <w:tcPr>
                                  <w:tcW w:w="3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543AA8AE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0.68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965F965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81D7DE6" w14:textId="7A2F1769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2.37</w:t>
                                  </w:r>
                                </w:p>
                              </w:tc>
                            </w:tr>
                            <w:tr w:rsidR="00663789" w:rsidRPr="00663789" w14:paraId="1992186C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19E589D" w14:textId="77777777" w:rsidR="00663789" w:rsidRPr="00663789" w:rsidRDefault="00663789" w:rsidP="0066378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Corea</w:t>
                                  </w:r>
                                </w:p>
                              </w:tc>
                              <w:tc>
                                <w:tcPr>
                                  <w:tcW w:w="3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2BA64DE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0.72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3BC465C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8E3E341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1.45</w:t>
                                  </w:r>
                                </w:p>
                              </w:tc>
                            </w:tr>
                            <w:tr w:rsidR="00663789" w:rsidRPr="00663789" w14:paraId="302948F4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4BF989D" w14:textId="77777777" w:rsidR="00663789" w:rsidRPr="00663789" w:rsidRDefault="00663789" w:rsidP="0066378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España</w:t>
                                  </w:r>
                                </w:p>
                              </w:tc>
                              <w:tc>
                                <w:tcPr>
                                  <w:tcW w:w="3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54E8D6A" w14:textId="5C7FCBF7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0.73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193CED6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E72AB7B" w14:textId="22387CAF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1.51</w:t>
                                  </w:r>
                                </w:p>
                              </w:tc>
                            </w:tr>
                            <w:tr w:rsidR="00663789" w:rsidRPr="00663789" w14:paraId="0C64EA52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AE0919E" w14:textId="77777777" w:rsidR="00663789" w:rsidRPr="00663789" w:rsidRDefault="00663789" w:rsidP="0066378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Estados Unidos</w:t>
                                  </w:r>
                                </w:p>
                              </w:tc>
                              <w:tc>
                                <w:tcPr>
                                  <w:tcW w:w="3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543F3BD7" w14:textId="61C29C14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0.74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8E79CBF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875059C" w14:textId="1B642B54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1.75</w:t>
                                  </w:r>
                                </w:p>
                              </w:tc>
                            </w:tr>
                            <w:tr w:rsidR="00663789" w:rsidRPr="00663789" w14:paraId="5872E9AC" w14:textId="77777777" w:rsidTr="00663789">
                              <w:trPr>
                                <w:trHeight w:val="315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67E0B8E" w14:textId="77777777" w:rsidR="00663789" w:rsidRPr="00663789" w:rsidRDefault="00663789" w:rsidP="0066378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México</w:t>
                                  </w:r>
                                </w:p>
                              </w:tc>
                              <w:tc>
                                <w:tcPr>
                                  <w:tcW w:w="317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C8E102A" w14:textId="4DACEDE5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0.59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10F0355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7FFB941" w14:textId="2656E861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1.95</w:t>
                                  </w:r>
                                </w:p>
                              </w:tc>
                            </w:tr>
                            <w:tr w:rsidR="00663789" w:rsidRPr="00663789" w14:paraId="446A59E8" w14:textId="77777777" w:rsidTr="00663789">
                              <w:trPr>
                                <w:trHeight w:val="315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B7B5D60" w14:textId="77777777" w:rsidR="00663789" w:rsidRPr="00663789" w:rsidRDefault="00663789" w:rsidP="0066378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Promedio OCDE</w:t>
                                  </w:r>
                                </w:p>
                              </w:tc>
                              <w:tc>
                                <w:tcPr>
                                  <w:tcW w:w="317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56BA094F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0.78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A0408F2" w14:textId="77777777" w:rsidR="00663789" w:rsidRPr="00663789" w:rsidRDefault="00663789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7D7FF4F" w14:textId="7B329BD8" w:rsidR="00663789" w:rsidRPr="00663789" w:rsidRDefault="00C23895" w:rsidP="0066378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eastAsia="es-MX"/>
                                    </w:rPr>
                                    <w:t>1.55</w:t>
                                  </w:r>
                                </w:p>
                              </w:tc>
                            </w:tr>
                            <w:tr w:rsidR="00663789" w:rsidRPr="00663789" w14:paraId="11A50831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AAB1DD9" w14:textId="77777777" w:rsidR="00663789" w:rsidRPr="00663789" w:rsidRDefault="00663789" w:rsidP="00663789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vertAlign w:val="superscript"/>
                                      <w:lang w:eastAsia="es-MX"/>
                                    </w:rPr>
                                    <w:t>1</w:t>
                                  </w: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  <w:t xml:space="preserve"> Corresponde al nivel 3 CINE 2011 (UNESCO, 2013). </w:t>
                                  </w:r>
                                </w:p>
                              </w:tc>
                            </w:tr>
                            <w:tr w:rsidR="00663789" w:rsidRPr="00663789" w14:paraId="180ED358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3380B1C" w14:textId="77777777" w:rsidR="00663789" w:rsidRPr="00663789" w:rsidRDefault="00663789" w:rsidP="00663789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</w:pP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vertAlign w:val="superscript"/>
                                      <w:lang w:eastAsia="es-MX"/>
                                    </w:rPr>
                                    <w:t>2</w:t>
                                  </w:r>
                                  <w:r w:rsidRPr="00663789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  <w:t xml:space="preserve"> Se refiere al nivel 6 de la misma clasificación.</w:t>
                                  </w:r>
                                </w:p>
                              </w:tc>
                            </w:tr>
                            <w:tr w:rsidR="00663789" w:rsidRPr="00663789" w14:paraId="0CA52B79" w14:textId="77777777" w:rsidTr="00663789">
                              <w:trPr>
                                <w:trHeight w:val="30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BCE83DB" w14:textId="1B57BD39" w:rsidR="00663789" w:rsidRPr="00931EFD" w:rsidRDefault="00663789" w:rsidP="00663789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</w:pPr>
                                  <w:r w:rsidRPr="00931EFD">
                                    <w:rPr>
                                      <w:rFonts w:ascii="Arial" w:hAnsi="Arial" w:cs="Arial"/>
                                      <w:bCs/>
                                      <w:color w:val="000000"/>
                                      <w:sz w:val="12"/>
                                      <w:szCs w:val="12"/>
                                      <w:lang w:val="en-US" w:eastAsia="es-MX"/>
                                    </w:rPr>
                                    <w:t>Fuente:</w:t>
                                  </w:r>
                                  <w:r w:rsidRPr="00931EFD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lang w:val="en-US" w:eastAsia="es-MX"/>
                                    </w:rPr>
                                    <w:t xml:space="preserve"> </w:t>
                                  </w:r>
                                  <w:r w:rsidR="00C23895" w:rsidRPr="00931EFD">
                                    <w:rPr>
                                      <w:rFonts w:ascii="Arial" w:hAnsi="Arial" w:cs="Arial"/>
                                      <w:i/>
                                      <w:iCs/>
                                      <w:color w:val="000000"/>
                                      <w:sz w:val="12"/>
                                      <w:szCs w:val="12"/>
                                      <w:lang w:val="en-US" w:eastAsia="es-MX"/>
                                    </w:rPr>
                                    <w:t>Education at a Glance 2018</w:t>
                                  </w:r>
                                  <w:r w:rsidRPr="00931EFD">
                                    <w:rPr>
                                      <w:rFonts w:ascii="Arial" w:hAnsi="Arial" w:cs="Arial"/>
                                      <w:i/>
                                      <w:iCs/>
                                      <w:color w:val="000000"/>
                                      <w:sz w:val="12"/>
                                      <w:szCs w:val="12"/>
                                      <w:lang w:val="en-US" w:eastAsia="es-MX"/>
                                    </w:rPr>
                                    <w:t xml:space="preserve">. </w:t>
                                  </w:r>
                                  <w:r w:rsidRPr="00931EFD">
                                    <w:rPr>
                                      <w:rFonts w:ascii="Arial" w:hAnsi="Arial" w:cs="Arial"/>
                                      <w:i/>
                                      <w:iCs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  <w:t xml:space="preserve">OECD </w:t>
                                  </w:r>
                                  <w:proofErr w:type="spellStart"/>
                                  <w:r w:rsidRPr="00931EFD">
                                    <w:rPr>
                                      <w:rFonts w:ascii="Arial" w:hAnsi="Arial" w:cs="Arial"/>
                                      <w:i/>
                                      <w:iCs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  <w:t>Indicators</w:t>
                                  </w:r>
                                  <w:proofErr w:type="spellEnd"/>
                                  <w:r w:rsidR="00C23895" w:rsidRPr="00931EFD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  <w:t>. OECD (2018</w:t>
                                  </w:r>
                                  <w:r w:rsidRPr="00931EFD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  <w:lang w:eastAsia="es-MX"/>
                                    </w:rPr>
                                    <w:t>).</w:t>
                                  </w:r>
                                </w:p>
                              </w:tc>
                            </w:tr>
                          </w:tbl>
                          <w:p w14:paraId="24D58D86" w14:textId="578231DC" w:rsidR="00663789" w:rsidRDefault="00663789" w:rsidP="0037055B">
                            <w:pPr>
                              <w:spacing w:after="40"/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54000" tIns="46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97F4C3" id="AutoShape 5" o:spid="_x0000_s1027" style="position:absolute;margin-left:.9pt;margin-top:7.35pt;width:512.45pt;height:344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0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">
                <v:textbox inset="1.5mm,1.3mm,1.5mm,.3mm">
                  <w:txbxContent>
                    <w:p w14:paraId="5E5E91E9" w14:textId="77777777" w:rsidR="00AB5F28" w:rsidRDefault="003E79B7" w:rsidP="00AB5F28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R</w:t>
                      </w:r>
                      <w:r w:rsidR="009A332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eferente de evaluación</w:t>
                      </w:r>
                      <w:r w:rsidR="003761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B4C5DFD" w14:textId="37B47E2B" w:rsidR="005F14D4" w:rsidRDefault="003E79B7" w:rsidP="00C23895">
                      <w:pPr>
                        <w:spacing w:after="40"/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El salario relativo para las escolaridades por arriba del nivel de referencia (educación básica en el caso de los jóvenes y </w:t>
                      </w:r>
                      <w:r w:rsidR="005E1931">
                        <w:rPr>
                          <w:rFonts w:ascii="Arial" w:hAnsi="Arial" w:cs="Arial"/>
                          <w:sz w:val="16"/>
                          <w:szCs w:val="16"/>
                        </w:rPr>
                        <w:t>EMS</w:t>
                      </w:r>
                      <w:r w:rsidR="004C0C9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para los adultos) deberá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ser mayor que la unidad si se cumple la premisa de que el criterio orientador de la educación </w:t>
                      </w:r>
                      <w:r w:rsidR="0018314B">
                        <w:rPr>
                          <w:rFonts w:ascii="Arial" w:hAnsi="Arial" w:cs="Arial"/>
                          <w:sz w:val="16"/>
                          <w:szCs w:val="16"/>
                        </w:rPr>
                        <w:t>“</w:t>
                      </w:r>
                      <w:r w:rsidRPr="0018314B">
                        <w:rPr>
                          <w:rFonts w:ascii="Arial" w:hAnsi="Arial" w:cs="Arial"/>
                          <w:sz w:val="16"/>
                          <w:szCs w:val="16"/>
                        </w:rPr>
                        <w:t>será democrático, considerando a la democracia no solamente como una estructura jurídica y un régimen político, sino como un sistema de vida fundado en el constante mejoramiento económico, social y cultural del pueblo</w:t>
                      </w:r>
                      <w:r w:rsidR="0018314B">
                        <w:rPr>
                          <w:rFonts w:ascii="Arial" w:hAnsi="Arial" w:cs="Arial"/>
                          <w:sz w:val="16"/>
                          <w:szCs w:val="16"/>
                        </w:rPr>
                        <w:t>”</w:t>
                      </w:r>
                      <w:r w:rsidRPr="0018314B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14:paraId="03B5BEEC" w14:textId="77777777" w:rsidR="00BA1EF8" w:rsidRDefault="00BA1EF8" w:rsidP="00AB5F28">
                      <w:pPr>
                        <w:spacing w:after="40"/>
                        <w:ind w:right="108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5E6DFCB7" w14:textId="1C530909" w:rsidR="00C24A35" w:rsidRPr="00311567" w:rsidRDefault="005F14D4" w:rsidP="009D0DAC">
                      <w:pPr>
                        <w:spacing w:after="40"/>
                        <w:ind w:right="108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Ver a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>rtículo 3º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fracción II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C24A35" w:rsidRPr="009D0DAC">
                        <w:rPr>
                          <w:rFonts w:ascii="Arial" w:hAnsi="Arial" w:cs="Arial"/>
                          <w:sz w:val="12"/>
                          <w:szCs w:val="12"/>
                        </w:rPr>
                        <w:t>inciso a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="00C24A35" w:rsidRPr="009D0DA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la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9A3325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>CPEUM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</w:t>
                      </w:r>
                      <w:r w:rsidR="00C5194B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>201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8</w:t>
                      </w:r>
                      <w:r w:rsidR="00C5194B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="007F1D73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27</w:t>
                      </w:r>
                      <w:r w:rsidR="007F1D73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agosto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>)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y a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>rtículo 8º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fracción I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la </w:t>
                      </w:r>
                      <w:r w:rsidR="009A3325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>LGE</w:t>
                      </w:r>
                      <w:r w:rsidR="005E1931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</w:t>
                      </w:r>
                      <w:r w:rsidR="00C5194B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>201</w:t>
                      </w:r>
                      <w:r w:rsidR="00183525">
                        <w:rPr>
                          <w:rFonts w:ascii="Arial" w:hAnsi="Arial" w:cs="Arial"/>
                          <w:sz w:val="12"/>
                          <w:szCs w:val="12"/>
                        </w:rPr>
                        <w:t>8</w:t>
                      </w:r>
                      <w:r w:rsidR="00C5194B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="007F1D73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183525">
                        <w:rPr>
                          <w:rFonts w:ascii="Arial" w:hAnsi="Arial" w:cs="Arial"/>
                          <w:sz w:val="12"/>
                          <w:szCs w:val="12"/>
                        </w:rPr>
                        <w:t>19</w:t>
                      </w:r>
                      <w:r w:rsidR="007F1D73" w:rsidRPr="007F1D7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</w:t>
                      </w:r>
                      <w:r w:rsidR="00183525">
                        <w:rPr>
                          <w:rFonts w:ascii="Arial" w:hAnsi="Arial" w:cs="Arial"/>
                          <w:sz w:val="12"/>
                          <w:szCs w:val="12"/>
                        </w:rPr>
                        <w:t>enero</w:t>
                      </w:r>
                      <w:r w:rsidR="00C24A35" w:rsidRPr="0058504A">
                        <w:rPr>
                          <w:rFonts w:ascii="Arial" w:hAnsi="Arial" w:cs="Arial"/>
                          <w:sz w:val="12"/>
                          <w:szCs w:val="12"/>
                        </w:rPr>
                        <w:t>).</w:t>
                      </w:r>
                    </w:p>
                    <w:p w14:paraId="3C84F34A" w14:textId="77777777" w:rsidR="003E79B7" w:rsidRDefault="003E79B7" w:rsidP="0037055B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53762C8F" w14:textId="77777777" w:rsidR="004C0C98" w:rsidRDefault="004C0C98" w:rsidP="0037055B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77983925" w14:textId="770A5D3C" w:rsidR="004C0C98" w:rsidRDefault="009A3325" w:rsidP="0037055B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8C30C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  <w:r w:rsidR="0038353D" w:rsidRPr="008C30C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3A7BD8E" w14:textId="351FED0B" w:rsidR="00663789" w:rsidRDefault="00663789" w:rsidP="0037055B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7D8A6A6A" w14:textId="04FEF504" w:rsidR="00663789" w:rsidRDefault="00663789" w:rsidP="0037055B">
                      <w:pPr>
                        <w:spacing w:after="40"/>
                        <w:ind w:right="108"/>
                        <w:rPr>
                          <w:sz w:val="20"/>
                          <w:szCs w:val="20"/>
                          <w:lang w:eastAsia="es-MX"/>
                        </w:rPr>
                      </w:pPr>
                      <w:r>
                        <w:fldChar w:fldCharType="begin"/>
                      </w:r>
                      <w:r>
                        <w:instrText xml:space="preserve"> LINK Excel.Sheet.12 "Libro1" "Hoja1!F5C1:F18C4" \a \f 4 \h  \* MERGEFORMAT </w:instrText>
                      </w:r>
                      <w:r>
                        <w:fldChar w:fldCharType="separate"/>
                      </w:r>
                    </w:p>
                    <w:tbl>
                      <w:tblPr>
                        <w:tblW w:w="9498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41"/>
                        <w:gridCol w:w="3171"/>
                        <w:gridCol w:w="1701"/>
                        <w:gridCol w:w="1985"/>
                      </w:tblGrid>
                      <w:tr w:rsidR="00663789" w:rsidRPr="00663789" w14:paraId="780A917A" w14:textId="77777777" w:rsidTr="00663789">
                        <w:trPr>
                          <w:trHeight w:val="300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0167170" w14:textId="13E6D47D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Ingresos laborales relativos de la población entre 25 y 64 años de edad</w:t>
                            </w:r>
                            <w:r w:rsidR="00C2389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 xml:space="preserve"> (2016)</w:t>
                            </w:r>
                          </w:p>
                        </w:tc>
                      </w:tr>
                      <w:tr w:rsidR="00663789" w:rsidRPr="00663789" w14:paraId="0F073233" w14:textId="77777777" w:rsidTr="00663789">
                        <w:trPr>
                          <w:trHeight w:val="300"/>
                        </w:trPr>
                        <w:tc>
                          <w:tcPr>
                            <w:tcW w:w="264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F4D8842" w14:textId="77777777" w:rsidR="00663789" w:rsidRPr="00663789" w:rsidRDefault="00663789" w:rsidP="00663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País</w:t>
                            </w:r>
                          </w:p>
                        </w:tc>
                        <w:tc>
                          <w:tcPr>
                            <w:tcW w:w="317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C7143F0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Sin media superior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048209B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Media superior</w:t>
                            </w: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vertAlign w:val="superscript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A17D305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Superior</w:t>
                            </w: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vertAlign w:val="superscript"/>
                                <w:lang w:eastAsia="es-MX"/>
                              </w:rPr>
                              <w:t>2</w:t>
                            </w:r>
                          </w:p>
                        </w:tc>
                      </w:tr>
                      <w:tr w:rsidR="00663789" w:rsidRPr="00663789" w14:paraId="1FA5BFBF" w14:textId="77777777" w:rsidTr="00663789">
                        <w:trPr>
                          <w:trHeight w:val="300"/>
                        </w:trPr>
                        <w:tc>
                          <w:tcPr>
                            <w:tcW w:w="26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221D77AA" w14:textId="77777777" w:rsidR="00663789" w:rsidRPr="00663789" w:rsidRDefault="00663789" w:rsidP="00663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Canadá</w:t>
                            </w:r>
                          </w:p>
                        </w:tc>
                        <w:tc>
                          <w:tcPr>
                            <w:tcW w:w="3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5F8483E1" w14:textId="10F1930A" w:rsidR="00663789" w:rsidRPr="00663789" w:rsidRDefault="00D331E7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0.83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9C447BF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A0151A2" w14:textId="16B5B42F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1.44</w:t>
                            </w:r>
                          </w:p>
                        </w:tc>
                      </w:tr>
                      <w:tr w:rsidR="00663789" w:rsidRPr="00663789" w14:paraId="6E738ABD" w14:textId="77777777" w:rsidTr="00663789">
                        <w:trPr>
                          <w:trHeight w:val="300"/>
                        </w:trPr>
                        <w:tc>
                          <w:tcPr>
                            <w:tcW w:w="26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4B9BAA9" w14:textId="77777777" w:rsidR="00663789" w:rsidRPr="00663789" w:rsidRDefault="00663789" w:rsidP="00663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Chile</w:t>
                            </w:r>
                          </w:p>
                        </w:tc>
                        <w:tc>
                          <w:tcPr>
                            <w:tcW w:w="3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543AA8AE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0.68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965F965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81D7DE6" w14:textId="7A2F1769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2.37</w:t>
                            </w:r>
                          </w:p>
                        </w:tc>
                      </w:tr>
                      <w:tr w:rsidR="00663789" w:rsidRPr="00663789" w14:paraId="1992186C" w14:textId="77777777" w:rsidTr="00663789">
                        <w:trPr>
                          <w:trHeight w:val="300"/>
                        </w:trPr>
                        <w:tc>
                          <w:tcPr>
                            <w:tcW w:w="26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19E589D" w14:textId="77777777" w:rsidR="00663789" w:rsidRPr="00663789" w:rsidRDefault="00663789" w:rsidP="00663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Corea</w:t>
                            </w:r>
                          </w:p>
                        </w:tc>
                        <w:tc>
                          <w:tcPr>
                            <w:tcW w:w="3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2BA64DE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0.72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3BC465C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8E3E341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1.45</w:t>
                            </w:r>
                          </w:p>
                        </w:tc>
                      </w:tr>
                      <w:tr w:rsidR="00663789" w:rsidRPr="00663789" w14:paraId="302948F4" w14:textId="77777777" w:rsidTr="00663789">
                        <w:trPr>
                          <w:trHeight w:val="300"/>
                        </w:trPr>
                        <w:tc>
                          <w:tcPr>
                            <w:tcW w:w="26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4BF989D" w14:textId="77777777" w:rsidR="00663789" w:rsidRPr="00663789" w:rsidRDefault="00663789" w:rsidP="00663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España</w:t>
                            </w:r>
                          </w:p>
                        </w:tc>
                        <w:tc>
                          <w:tcPr>
                            <w:tcW w:w="3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54E8D6A" w14:textId="5C7FCBF7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0.73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193CED6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E72AB7B" w14:textId="22387CAF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1.51</w:t>
                            </w:r>
                          </w:p>
                        </w:tc>
                      </w:tr>
                      <w:tr w:rsidR="00663789" w:rsidRPr="00663789" w14:paraId="0C64EA52" w14:textId="77777777" w:rsidTr="00663789">
                        <w:trPr>
                          <w:trHeight w:val="300"/>
                        </w:trPr>
                        <w:tc>
                          <w:tcPr>
                            <w:tcW w:w="26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AE0919E" w14:textId="77777777" w:rsidR="00663789" w:rsidRPr="00663789" w:rsidRDefault="00663789" w:rsidP="00663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Estados Unidos</w:t>
                            </w:r>
                          </w:p>
                        </w:tc>
                        <w:tc>
                          <w:tcPr>
                            <w:tcW w:w="3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543F3BD7" w14:textId="61C29C14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0.74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8E79CBF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875059C" w14:textId="1B642B54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1.75</w:t>
                            </w:r>
                          </w:p>
                        </w:tc>
                      </w:tr>
                      <w:tr w:rsidR="00663789" w:rsidRPr="00663789" w14:paraId="5872E9AC" w14:textId="77777777" w:rsidTr="00663789">
                        <w:trPr>
                          <w:trHeight w:val="315"/>
                        </w:trPr>
                        <w:tc>
                          <w:tcPr>
                            <w:tcW w:w="264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67E0B8E" w14:textId="77777777" w:rsidR="00663789" w:rsidRPr="00663789" w:rsidRDefault="00663789" w:rsidP="00663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México</w:t>
                            </w:r>
                          </w:p>
                        </w:tc>
                        <w:tc>
                          <w:tcPr>
                            <w:tcW w:w="317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C8E102A" w14:textId="4DACEDE5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0.59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10F0355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7FFB941" w14:textId="2656E861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1.95</w:t>
                            </w:r>
                          </w:p>
                        </w:tc>
                      </w:tr>
                      <w:tr w:rsidR="00663789" w:rsidRPr="00663789" w14:paraId="446A59E8" w14:textId="77777777" w:rsidTr="00663789">
                        <w:trPr>
                          <w:trHeight w:val="315"/>
                        </w:trPr>
                        <w:tc>
                          <w:tcPr>
                            <w:tcW w:w="264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B7B5D60" w14:textId="77777777" w:rsidR="00663789" w:rsidRPr="00663789" w:rsidRDefault="00663789" w:rsidP="00663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Promedio OCDE</w:t>
                            </w:r>
                          </w:p>
                        </w:tc>
                        <w:tc>
                          <w:tcPr>
                            <w:tcW w:w="317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56BA094F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0.78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A0408F2" w14:textId="77777777" w:rsidR="00663789" w:rsidRPr="00663789" w:rsidRDefault="00663789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7D7FF4F" w14:textId="7B329BD8" w:rsidR="00663789" w:rsidRPr="00663789" w:rsidRDefault="00C23895" w:rsidP="00663789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eastAsia="es-MX"/>
                              </w:rPr>
                              <w:t>1.55</w:t>
                            </w:r>
                          </w:p>
                        </w:tc>
                      </w:tr>
                      <w:tr w:rsidR="00663789" w:rsidRPr="00663789" w14:paraId="11A50831" w14:textId="77777777" w:rsidTr="00663789">
                        <w:trPr>
                          <w:trHeight w:val="300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AAB1DD9" w14:textId="77777777" w:rsidR="00663789" w:rsidRPr="00663789" w:rsidRDefault="00663789" w:rsidP="00663789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vertAlign w:val="superscript"/>
                                <w:lang w:eastAsia="es-MX"/>
                              </w:rPr>
                              <w:t>1</w:t>
                            </w: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  <w:t xml:space="preserve"> Corresponde al nivel 3 CINE 2011 (UNESCO, 2013). </w:t>
                            </w:r>
                          </w:p>
                        </w:tc>
                      </w:tr>
                      <w:tr w:rsidR="00663789" w:rsidRPr="00663789" w14:paraId="180ED358" w14:textId="77777777" w:rsidTr="00663789">
                        <w:trPr>
                          <w:trHeight w:val="300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3380B1C" w14:textId="77777777" w:rsidR="00663789" w:rsidRPr="00663789" w:rsidRDefault="00663789" w:rsidP="00663789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</w:pP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vertAlign w:val="superscript"/>
                                <w:lang w:eastAsia="es-MX"/>
                              </w:rPr>
                              <w:t>2</w:t>
                            </w:r>
                            <w:r w:rsidRPr="0066378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  <w:t xml:space="preserve"> Se refiere al nivel 6 de la misma clasificación.</w:t>
                            </w:r>
                          </w:p>
                        </w:tc>
                      </w:tr>
                      <w:tr w:rsidR="00663789" w:rsidRPr="00663789" w14:paraId="0CA52B79" w14:textId="77777777" w:rsidTr="00663789">
                        <w:trPr>
                          <w:trHeight w:val="300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BCE83DB" w14:textId="1B57BD39" w:rsidR="00663789" w:rsidRPr="00931EFD" w:rsidRDefault="00663789" w:rsidP="00663789">
                            <w:pPr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</w:pPr>
                            <w:r w:rsidRPr="00931EFD">
                              <w:rPr>
                                <w:rFonts w:ascii="Arial" w:hAnsi="Arial" w:cs="Arial"/>
                                <w:bCs/>
                                <w:color w:val="000000"/>
                                <w:sz w:val="12"/>
                                <w:szCs w:val="12"/>
                                <w:lang w:val="en-US" w:eastAsia="es-MX"/>
                              </w:rPr>
                              <w:t>Fuente:</w:t>
                            </w:r>
                            <w:r w:rsidRPr="00931EF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n-US" w:eastAsia="es-MX"/>
                              </w:rPr>
                              <w:t xml:space="preserve"> </w:t>
                            </w:r>
                            <w:r w:rsidR="00C23895" w:rsidRPr="00931EFD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lang w:val="en-US" w:eastAsia="es-MX"/>
                              </w:rPr>
                              <w:t>Education at a Glance 2018</w:t>
                            </w:r>
                            <w:r w:rsidRPr="00931EFD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lang w:val="en-US" w:eastAsia="es-MX"/>
                              </w:rPr>
                              <w:t xml:space="preserve">. </w:t>
                            </w:r>
                            <w:r w:rsidRPr="00931EFD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  <w:t xml:space="preserve">OECD </w:t>
                            </w:r>
                            <w:proofErr w:type="spellStart"/>
                            <w:r w:rsidRPr="00931EFD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  <w:t>Indicators</w:t>
                            </w:r>
                            <w:proofErr w:type="spellEnd"/>
                            <w:r w:rsidR="00C23895" w:rsidRPr="00931EF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  <w:t>. OECD (2018</w:t>
                            </w:r>
                            <w:r w:rsidRPr="00931EF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eastAsia="es-MX"/>
                              </w:rPr>
                              <w:t>).</w:t>
                            </w:r>
                          </w:p>
                        </w:tc>
                      </w:tr>
                    </w:tbl>
                    <w:p w14:paraId="24D58D86" w14:textId="578231DC" w:rsidR="00663789" w:rsidRDefault="00663789" w:rsidP="0037055B">
                      <w:pPr>
                        <w:spacing w:after="40"/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</w:p>
    <w:p w14:paraId="170CA566" w14:textId="3BFC317B" w:rsidR="004C0C98" w:rsidRPr="002F579F" w:rsidRDefault="004C0C98" w:rsidP="00BD755D">
      <w:pPr>
        <w:rPr>
          <w:szCs w:val="14"/>
        </w:rPr>
      </w:pPr>
    </w:p>
    <w:p w14:paraId="5B31F240" w14:textId="77777777" w:rsidR="004C0C98" w:rsidRPr="002F579F" w:rsidRDefault="004C0C98" w:rsidP="00BD755D">
      <w:pPr>
        <w:rPr>
          <w:szCs w:val="14"/>
        </w:rPr>
      </w:pPr>
    </w:p>
    <w:p w14:paraId="262763EF" w14:textId="77777777" w:rsidR="004C0C98" w:rsidRPr="002F579F" w:rsidRDefault="004C0C98" w:rsidP="00BD755D">
      <w:pPr>
        <w:rPr>
          <w:szCs w:val="14"/>
        </w:rPr>
      </w:pPr>
    </w:p>
    <w:p w14:paraId="503183C4" w14:textId="77777777" w:rsidR="004C0C98" w:rsidRPr="002F579F" w:rsidRDefault="004C0C98" w:rsidP="00BD755D">
      <w:pPr>
        <w:rPr>
          <w:szCs w:val="14"/>
        </w:rPr>
      </w:pPr>
    </w:p>
    <w:p w14:paraId="1698DC09" w14:textId="77777777" w:rsidR="004C0C98" w:rsidRPr="002F579F" w:rsidRDefault="004C0C98" w:rsidP="00BD755D">
      <w:pPr>
        <w:rPr>
          <w:szCs w:val="14"/>
        </w:rPr>
      </w:pPr>
    </w:p>
    <w:p w14:paraId="013DF2FB" w14:textId="77777777" w:rsidR="004C0C98" w:rsidRPr="002F579F" w:rsidRDefault="004C0C98" w:rsidP="00BD755D">
      <w:pPr>
        <w:rPr>
          <w:szCs w:val="14"/>
        </w:rPr>
      </w:pPr>
    </w:p>
    <w:p w14:paraId="409F3304" w14:textId="77777777" w:rsidR="004C0C98" w:rsidRPr="002F579F" w:rsidRDefault="004C0C98" w:rsidP="00BD755D">
      <w:pPr>
        <w:rPr>
          <w:szCs w:val="14"/>
        </w:rPr>
      </w:pPr>
    </w:p>
    <w:p w14:paraId="36750442" w14:textId="77777777" w:rsidR="004C0C98" w:rsidRPr="002F579F" w:rsidRDefault="004C0C98" w:rsidP="00BD755D">
      <w:pPr>
        <w:rPr>
          <w:szCs w:val="14"/>
        </w:rPr>
      </w:pPr>
    </w:p>
    <w:p w14:paraId="42313B2F" w14:textId="77777777" w:rsidR="004C0C98" w:rsidRPr="002F579F" w:rsidRDefault="004C0C98" w:rsidP="00BD755D">
      <w:pPr>
        <w:rPr>
          <w:szCs w:val="14"/>
        </w:rPr>
      </w:pPr>
    </w:p>
    <w:p w14:paraId="75B8406E" w14:textId="77777777" w:rsidR="004C0C98" w:rsidRPr="002F579F" w:rsidRDefault="004C0C98" w:rsidP="00BD755D">
      <w:pPr>
        <w:rPr>
          <w:szCs w:val="14"/>
        </w:rPr>
      </w:pPr>
    </w:p>
    <w:p w14:paraId="388CAB4E" w14:textId="77777777" w:rsidR="004C0C98" w:rsidRPr="002F579F" w:rsidRDefault="004C0C98" w:rsidP="00BD755D">
      <w:pPr>
        <w:rPr>
          <w:szCs w:val="14"/>
        </w:rPr>
      </w:pPr>
    </w:p>
    <w:p w14:paraId="0794A62E" w14:textId="77777777" w:rsidR="004C0C98" w:rsidRPr="002F579F" w:rsidRDefault="004C0C98" w:rsidP="00BD755D">
      <w:pPr>
        <w:rPr>
          <w:szCs w:val="14"/>
        </w:rPr>
      </w:pPr>
    </w:p>
    <w:p w14:paraId="6CB7FA31" w14:textId="77777777" w:rsidR="004C0C98" w:rsidRPr="002F579F" w:rsidRDefault="004C0C98" w:rsidP="00BD755D">
      <w:pPr>
        <w:rPr>
          <w:szCs w:val="14"/>
        </w:rPr>
      </w:pPr>
    </w:p>
    <w:p w14:paraId="69060E94" w14:textId="77777777" w:rsidR="004C0C98" w:rsidRPr="002F579F" w:rsidRDefault="004C0C98" w:rsidP="00BD755D">
      <w:pPr>
        <w:rPr>
          <w:szCs w:val="14"/>
        </w:rPr>
      </w:pPr>
    </w:p>
    <w:p w14:paraId="286A2972" w14:textId="77777777" w:rsidR="004C0C98" w:rsidRPr="002F579F" w:rsidRDefault="004C0C98" w:rsidP="00BD755D">
      <w:pPr>
        <w:rPr>
          <w:szCs w:val="14"/>
        </w:rPr>
      </w:pPr>
    </w:p>
    <w:p w14:paraId="0BC4C08D" w14:textId="77777777" w:rsidR="004C0C98" w:rsidRPr="002F579F" w:rsidRDefault="004C0C98" w:rsidP="00BD755D">
      <w:pPr>
        <w:rPr>
          <w:szCs w:val="14"/>
        </w:rPr>
      </w:pPr>
    </w:p>
    <w:p w14:paraId="161B954D" w14:textId="77777777" w:rsidR="004C0C98" w:rsidRPr="002F579F" w:rsidRDefault="004C0C98" w:rsidP="00BD755D">
      <w:pPr>
        <w:rPr>
          <w:szCs w:val="14"/>
        </w:rPr>
      </w:pPr>
    </w:p>
    <w:p w14:paraId="3B3B67AA" w14:textId="77777777" w:rsidR="004C0C98" w:rsidRPr="002F579F" w:rsidRDefault="004C0C98" w:rsidP="00BD755D">
      <w:pPr>
        <w:rPr>
          <w:szCs w:val="14"/>
        </w:rPr>
      </w:pPr>
    </w:p>
    <w:p w14:paraId="7104C38A" w14:textId="77777777" w:rsidR="004C0C98" w:rsidRPr="002F579F" w:rsidRDefault="004C0C98" w:rsidP="00BD755D">
      <w:pPr>
        <w:rPr>
          <w:szCs w:val="14"/>
        </w:rPr>
      </w:pPr>
    </w:p>
    <w:p w14:paraId="5ECE7CB8" w14:textId="77777777" w:rsidR="003E79B7" w:rsidRPr="002F579F" w:rsidRDefault="003E79B7" w:rsidP="00BD755D">
      <w:pPr>
        <w:rPr>
          <w:lang w:val="es-ES"/>
        </w:rPr>
      </w:pPr>
      <w:bookmarkStart w:id="0" w:name="_GoBack"/>
      <w:bookmarkEnd w:id="0"/>
    </w:p>
    <w:sectPr w:rsidR="003E79B7" w:rsidRPr="002F579F" w:rsidSect="00DC2C60">
      <w:pgSz w:w="12242" w:h="15842" w:code="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ADEDA" w14:textId="77777777" w:rsidR="00AD3F2F" w:rsidRDefault="00AD3F2F" w:rsidP="00B84764">
      <w:r>
        <w:separator/>
      </w:r>
    </w:p>
  </w:endnote>
  <w:endnote w:type="continuationSeparator" w:id="0">
    <w:p w14:paraId="0E471BCB" w14:textId="77777777" w:rsidR="00AD3F2F" w:rsidRDefault="00AD3F2F" w:rsidP="00B8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72EF5" w14:textId="77777777" w:rsidR="00AD3F2F" w:rsidRDefault="00AD3F2F" w:rsidP="00B84764">
      <w:r>
        <w:separator/>
      </w:r>
    </w:p>
  </w:footnote>
  <w:footnote w:type="continuationSeparator" w:id="0">
    <w:p w14:paraId="154F9C05" w14:textId="77777777" w:rsidR="00AD3F2F" w:rsidRDefault="00AD3F2F" w:rsidP="00B84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29D"/>
    <w:multiLevelType w:val="hybridMultilevel"/>
    <w:tmpl w:val="7FA6783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6C"/>
    <w:rsid w:val="00002A71"/>
    <w:rsid w:val="00003207"/>
    <w:rsid w:val="000153D7"/>
    <w:rsid w:val="00017173"/>
    <w:rsid w:val="00017E1E"/>
    <w:rsid w:val="00021094"/>
    <w:rsid w:val="00022AFB"/>
    <w:rsid w:val="00024058"/>
    <w:rsid w:val="00024B51"/>
    <w:rsid w:val="00025FEF"/>
    <w:rsid w:val="00027D12"/>
    <w:rsid w:val="00035A87"/>
    <w:rsid w:val="00036EBB"/>
    <w:rsid w:val="00043A76"/>
    <w:rsid w:val="000527A8"/>
    <w:rsid w:val="00056FF2"/>
    <w:rsid w:val="000650A9"/>
    <w:rsid w:val="00067B6A"/>
    <w:rsid w:val="0007452D"/>
    <w:rsid w:val="00080081"/>
    <w:rsid w:val="000802F0"/>
    <w:rsid w:val="00086E94"/>
    <w:rsid w:val="00091A7A"/>
    <w:rsid w:val="0009284E"/>
    <w:rsid w:val="00097F27"/>
    <w:rsid w:val="000A2367"/>
    <w:rsid w:val="000A4138"/>
    <w:rsid w:val="000A7684"/>
    <w:rsid w:val="000B14A5"/>
    <w:rsid w:val="000C24F8"/>
    <w:rsid w:val="000C3047"/>
    <w:rsid w:val="000C57AC"/>
    <w:rsid w:val="000C5E30"/>
    <w:rsid w:val="000C6ED2"/>
    <w:rsid w:val="000C7409"/>
    <w:rsid w:val="000D026D"/>
    <w:rsid w:val="000D1A27"/>
    <w:rsid w:val="000D49E1"/>
    <w:rsid w:val="000E4889"/>
    <w:rsid w:val="000E4ECC"/>
    <w:rsid w:val="000E6BFC"/>
    <w:rsid w:val="000E7A46"/>
    <w:rsid w:val="000F7D5D"/>
    <w:rsid w:val="001014D4"/>
    <w:rsid w:val="00101886"/>
    <w:rsid w:val="00103513"/>
    <w:rsid w:val="001056BA"/>
    <w:rsid w:val="001079D7"/>
    <w:rsid w:val="0011056E"/>
    <w:rsid w:val="00111E86"/>
    <w:rsid w:val="00112163"/>
    <w:rsid w:val="00114B67"/>
    <w:rsid w:val="00115DAE"/>
    <w:rsid w:val="00116AFB"/>
    <w:rsid w:val="0012133C"/>
    <w:rsid w:val="00122DAA"/>
    <w:rsid w:val="0013020B"/>
    <w:rsid w:val="0013361B"/>
    <w:rsid w:val="001364BE"/>
    <w:rsid w:val="001419DC"/>
    <w:rsid w:val="0014336F"/>
    <w:rsid w:val="00144666"/>
    <w:rsid w:val="00145254"/>
    <w:rsid w:val="00153E9A"/>
    <w:rsid w:val="00157201"/>
    <w:rsid w:val="001579B6"/>
    <w:rsid w:val="001720F5"/>
    <w:rsid w:val="00173453"/>
    <w:rsid w:val="00177968"/>
    <w:rsid w:val="00180F59"/>
    <w:rsid w:val="0018314B"/>
    <w:rsid w:val="00183525"/>
    <w:rsid w:val="00183C85"/>
    <w:rsid w:val="00185187"/>
    <w:rsid w:val="001865CE"/>
    <w:rsid w:val="0018707C"/>
    <w:rsid w:val="001903A4"/>
    <w:rsid w:val="00192460"/>
    <w:rsid w:val="0019504E"/>
    <w:rsid w:val="00196F30"/>
    <w:rsid w:val="0019712D"/>
    <w:rsid w:val="001A06F6"/>
    <w:rsid w:val="001A41FE"/>
    <w:rsid w:val="001B5309"/>
    <w:rsid w:val="001B61C7"/>
    <w:rsid w:val="001B631C"/>
    <w:rsid w:val="001C006C"/>
    <w:rsid w:val="001C2CD6"/>
    <w:rsid w:val="001C62F9"/>
    <w:rsid w:val="001C7E9D"/>
    <w:rsid w:val="001D5E38"/>
    <w:rsid w:val="001D61B6"/>
    <w:rsid w:val="001E14A5"/>
    <w:rsid w:val="001E2AA6"/>
    <w:rsid w:val="001E2AE7"/>
    <w:rsid w:val="001E5814"/>
    <w:rsid w:val="00204B80"/>
    <w:rsid w:val="00206406"/>
    <w:rsid w:val="00206811"/>
    <w:rsid w:val="00210606"/>
    <w:rsid w:val="00217D1D"/>
    <w:rsid w:val="00221072"/>
    <w:rsid w:val="002229B8"/>
    <w:rsid w:val="00233A59"/>
    <w:rsid w:val="002409A2"/>
    <w:rsid w:val="002419F7"/>
    <w:rsid w:val="002439A0"/>
    <w:rsid w:val="0025754C"/>
    <w:rsid w:val="00263D80"/>
    <w:rsid w:val="00264281"/>
    <w:rsid w:val="00264606"/>
    <w:rsid w:val="0026501E"/>
    <w:rsid w:val="00273E11"/>
    <w:rsid w:val="0028064E"/>
    <w:rsid w:val="00284BBE"/>
    <w:rsid w:val="00286CC9"/>
    <w:rsid w:val="0028751D"/>
    <w:rsid w:val="00287539"/>
    <w:rsid w:val="002908AB"/>
    <w:rsid w:val="00292707"/>
    <w:rsid w:val="002927B4"/>
    <w:rsid w:val="00295338"/>
    <w:rsid w:val="00295992"/>
    <w:rsid w:val="002961EC"/>
    <w:rsid w:val="002A24B0"/>
    <w:rsid w:val="002B334C"/>
    <w:rsid w:val="002B687E"/>
    <w:rsid w:val="002B78AB"/>
    <w:rsid w:val="002C01B6"/>
    <w:rsid w:val="002C1CCA"/>
    <w:rsid w:val="002C392A"/>
    <w:rsid w:val="002C551E"/>
    <w:rsid w:val="002C794D"/>
    <w:rsid w:val="002D23C0"/>
    <w:rsid w:val="002D51D4"/>
    <w:rsid w:val="002E54B2"/>
    <w:rsid w:val="002F04A2"/>
    <w:rsid w:val="002F21E3"/>
    <w:rsid w:val="002F3FF9"/>
    <w:rsid w:val="002F482F"/>
    <w:rsid w:val="002F579F"/>
    <w:rsid w:val="002F5EF5"/>
    <w:rsid w:val="003021CF"/>
    <w:rsid w:val="0030451D"/>
    <w:rsid w:val="003062C5"/>
    <w:rsid w:val="00311567"/>
    <w:rsid w:val="00311A2A"/>
    <w:rsid w:val="00311CA3"/>
    <w:rsid w:val="00313A6A"/>
    <w:rsid w:val="00313A74"/>
    <w:rsid w:val="00314A94"/>
    <w:rsid w:val="0031719C"/>
    <w:rsid w:val="00321CE3"/>
    <w:rsid w:val="00323F0C"/>
    <w:rsid w:val="00325580"/>
    <w:rsid w:val="003267E1"/>
    <w:rsid w:val="003306CC"/>
    <w:rsid w:val="00333A61"/>
    <w:rsid w:val="00340447"/>
    <w:rsid w:val="0034170D"/>
    <w:rsid w:val="00344ABC"/>
    <w:rsid w:val="003453FB"/>
    <w:rsid w:val="00347648"/>
    <w:rsid w:val="00354265"/>
    <w:rsid w:val="00357A8C"/>
    <w:rsid w:val="003609CA"/>
    <w:rsid w:val="003613AD"/>
    <w:rsid w:val="003640AA"/>
    <w:rsid w:val="00366150"/>
    <w:rsid w:val="003669F5"/>
    <w:rsid w:val="00366D43"/>
    <w:rsid w:val="0037055B"/>
    <w:rsid w:val="00376160"/>
    <w:rsid w:val="0038353D"/>
    <w:rsid w:val="00384526"/>
    <w:rsid w:val="00384C92"/>
    <w:rsid w:val="00387643"/>
    <w:rsid w:val="00392CF9"/>
    <w:rsid w:val="00396EA3"/>
    <w:rsid w:val="003A04BC"/>
    <w:rsid w:val="003A06BF"/>
    <w:rsid w:val="003A2301"/>
    <w:rsid w:val="003A79C6"/>
    <w:rsid w:val="003B22B6"/>
    <w:rsid w:val="003B3813"/>
    <w:rsid w:val="003B61C3"/>
    <w:rsid w:val="003B73C4"/>
    <w:rsid w:val="003C0223"/>
    <w:rsid w:val="003C092C"/>
    <w:rsid w:val="003C412D"/>
    <w:rsid w:val="003D60C1"/>
    <w:rsid w:val="003D61C1"/>
    <w:rsid w:val="003E6307"/>
    <w:rsid w:val="003E6DEF"/>
    <w:rsid w:val="003E79B7"/>
    <w:rsid w:val="003F15DB"/>
    <w:rsid w:val="003F199D"/>
    <w:rsid w:val="003F2BDB"/>
    <w:rsid w:val="003F4F47"/>
    <w:rsid w:val="003F601B"/>
    <w:rsid w:val="003F79D7"/>
    <w:rsid w:val="00400C4B"/>
    <w:rsid w:val="0040138B"/>
    <w:rsid w:val="00402A6B"/>
    <w:rsid w:val="00402BAD"/>
    <w:rsid w:val="00402E1F"/>
    <w:rsid w:val="00404C7C"/>
    <w:rsid w:val="00412DE4"/>
    <w:rsid w:val="00422723"/>
    <w:rsid w:val="004232A0"/>
    <w:rsid w:val="004243B5"/>
    <w:rsid w:val="004257AB"/>
    <w:rsid w:val="00425D94"/>
    <w:rsid w:val="004261F1"/>
    <w:rsid w:val="0042623A"/>
    <w:rsid w:val="004263E6"/>
    <w:rsid w:val="004318B5"/>
    <w:rsid w:val="00432145"/>
    <w:rsid w:val="00435D24"/>
    <w:rsid w:val="0043607C"/>
    <w:rsid w:val="00436817"/>
    <w:rsid w:val="00443ED5"/>
    <w:rsid w:val="00444CE5"/>
    <w:rsid w:val="00451B4C"/>
    <w:rsid w:val="0046452E"/>
    <w:rsid w:val="00467949"/>
    <w:rsid w:val="00470ACB"/>
    <w:rsid w:val="0047172D"/>
    <w:rsid w:val="004731E4"/>
    <w:rsid w:val="00473980"/>
    <w:rsid w:val="00477550"/>
    <w:rsid w:val="004804B1"/>
    <w:rsid w:val="0048083F"/>
    <w:rsid w:val="00481053"/>
    <w:rsid w:val="00481875"/>
    <w:rsid w:val="00483FB6"/>
    <w:rsid w:val="00492D2B"/>
    <w:rsid w:val="00494A66"/>
    <w:rsid w:val="00494F72"/>
    <w:rsid w:val="004A1F96"/>
    <w:rsid w:val="004A3D46"/>
    <w:rsid w:val="004A79A6"/>
    <w:rsid w:val="004B1873"/>
    <w:rsid w:val="004B1C11"/>
    <w:rsid w:val="004B5515"/>
    <w:rsid w:val="004B5DF3"/>
    <w:rsid w:val="004B74EA"/>
    <w:rsid w:val="004B7D64"/>
    <w:rsid w:val="004C0C98"/>
    <w:rsid w:val="004C56BE"/>
    <w:rsid w:val="004C5858"/>
    <w:rsid w:val="004C5F62"/>
    <w:rsid w:val="004C6140"/>
    <w:rsid w:val="004C695B"/>
    <w:rsid w:val="004C7D51"/>
    <w:rsid w:val="004D1FB7"/>
    <w:rsid w:val="004D24C4"/>
    <w:rsid w:val="004D3310"/>
    <w:rsid w:val="004D416A"/>
    <w:rsid w:val="004D68F1"/>
    <w:rsid w:val="004D78B1"/>
    <w:rsid w:val="004E3987"/>
    <w:rsid w:val="004F0CEE"/>
    <w:rsid w:val="004F268F"/>
    <w:rsid w:val="004F51E5"/>
    <w:rsid w:val="004F5685"/>
    <w:rsid w:val="0050288E"/>
    <w:rsid w:val="005048E5"/>
    <w:rsid w:val="00504E50"/>
    <w:rsid w:val="00505C1E"/>
    <w:rsid w:val="00506955"/>
    <w:rsid w:val="00506F05"/>
    <w:rsid w:val="00507108"/>
    <w:rsid w:val="00510B51"/>
    <w:rsid w:val="005116B0"/>
    <w:rsid w:val="00520BD3"/>
    <w:rsid w:val="005227E2"/>
    <w:rsid w:val="00531FC6"/>
    <w:rsid w:val="00534CA0"/>
    <w:rsid w:val="00536376"/>
    <w:rsid w:val="00543224"/>
    <w:rsid w:val="00544A2E"/>
    <w:rsid w:val="00544AE2"/>
    <w:rsid w:val="00552AF6"/>
    <w:rsid w:val="00560887"/>
    <w:rsid w:val="0056300B"/>
    <w:rsid w:val="005631B2"/>
    <w:rsid w:val="00565EDE"/>
    <w:rsid w:val="005671B5"/>
    <w:rsid w:val="00571256"/>
    <w:rsid w:val="00573CB9"/>
    <w:rsid w:val="00574FB5"/>
    <w:rsid w:val="00580BFD"/>
    <w:rsid w:val="00582917"/>
    <w:rsid w:val="00583833"/>
    <w:rsid w:val="00584916"/>
    <w:rsid w:val="00584FBD"/>
    <w:rsid w:val="0058504A"/>
    <w:rsid w:val="00591701"/>
    <w:rsid w:val="00593BA6"/>
    <w:rsid w:val="00596A4D"/>
    <w:rsid w:val="005A17A5"/>
    <w:rsid w:val="005A34A6"/>
    <w:rsid w:val="005A3966"/>
    <w:rsid w:val="005A57D7"/>
    <w:rsid w:val="005A6791"/>
    <w:rsid w:val="005B2347"/>
    <w:rsid w:val="005B63A7"/>
    <w:rsid w:val="005B651A"/>
    <w:rsid w:val="005C5AAB"/>
    <w:rsid w:val="005C6B88"/>
    <w:rsid w:val="005C7105"/>
    <w:rsid w:val="005D23C8"/>
    <w:rsid w:val="005D26AA"/>
    <w:rsid w:val="005D61EF"/>
    <w:rsid w:val="005E03AE"/>
    <w:rsid w:val="005E093A"/>
    <w:rsid w:val="005E1931"/>
    <w:rsid w:val="005E1AFA"/>
    <w:rsid w:val="005E568C"/>
    <w:rsid w:val="005E64D5"/>
    <w:rsid w:val="005F0CE7"/>
    <w:rsid w:val="005F14D4"/>
    <w:rsid w:val="005F4F99"/>
    <w:rsid w:val="005F5980"/>
    <w:rsid w:val="006007CC"/>
    <w:rsid w:val="006055C6"/>
    <w:rsid w:val="00607ACB"/>
    <w:rsid w:val="0061089C"/>
    <w:rsid w:val="00620A89"/>
    <w:rsid w:val="00625189"/>
    <w:rsid w:val="00626CCB"/>
    <w:rsid w:val="00631402"/>
    <w:rsid w:val="00631C2A"/>
    <w:rsid w:val="00631D08"/>
    <w:rsid w:val="00635945"/>
    <w:rsid w:val="00636D8F"/>
    <w:rsid w:val="00640430"/>
    <w:rsid w:val="006436B3"/>
    <w:rsid w:val="0064641B"/>
    <w:rsid w:val="00652398"/>
    <w:rsid w:val="00652AFB"/>
    <w:rsid w:val="006536B1"/>
    <w:rsid w:val="006579E8"/>
    <w:rsid w:val="00657C76"/>
    <w:rsid w:val="00663789"/>
    <w:rsid w:val="0067341F"/>
    <w:rsid w:val="006765C4"/>
    <w:rsid w:val="00676E5D"/>
    <w:rsid w:val="00681403"/>
    <w:rsid w:val="00686362"/>
    <w:rsid w:val="00686F9A"/>
    <w:rsid w:val="00687DB2"/>
    <w:rsid w:val="00691833"/>
    <w:rsid w:val="00693768"/>
    <w:rsid w:val="00694372"/>
    <w:rsid w:val="006973D8"/>
    <w:rsid w:val="006A198D"/>
    <w:rsid w:val="006A2177"/>
    <w:rsid w:val="006A2FDF"/>
    <w:rsid w:val="006A5C99"/>
    <w:rsid w:val="006A78AD"/>
    <w:rsid w:val="006B2FAB"/>
    <w:rsid w:val="006B31EC"/>
    <w:rsid w:val="006B4C5F"/>
    <w:rsid w:val="006C1E49"/>
    <w:rsid w:val="006C6481"/>
    <w:rsid w:val="006C7C49"/>
    <w:rsid w:val="006D01B4"/>
    <w:rsid w:val="006D35CB"/>
    <w:rsid w:val="006D36D1"/>
    <w:rsid w:val="006D6909"/>
    <w:rsid w:val="006E0A8E"/>
    <w:rsid w:val="006E1A81"/>
    <w:rsid w:val="006E26B7"/>
    <w:rsid w:val="006E45A4"/>
    <w:rsid w:val="006E4EA1"/>
    <w:rsid w:val="006E5251"/>
    <w:rsid w:val="006E6581"/>
    <w:rsid w:val="006E6F7A"/>
    <w:rsid w:val="006E6FCB"/>
    <w:rsid w:val="006F0E80"/>
    <w:rsid w:val="006F1B81"/>
    <w:rsid w:val="006F1C88"/>
    <w:rsid w:val="006F284F"/>
    <w:rsid w:val="006F3689"/>
    <w:rsid w:val="006F7AAF"/>
    <w:rsid w:val="00700CD0"/>
    <w:rsid w:val="00706A9E"/>
    <w:rsid w:val="0070731D"/>
    <w:rsid w:val="00711CC1"/>
    <w:rsid w:val="00711F52"/>
    <w:rsid w:val="00713E24"/>
    <w:rsid w:val="0071440B"/>
    <w:rsid w:val="007201D2"/>
    <w:rsid w:val="00726E29"/>
    <w:rsid w:val="007307E1"/>
    <w:rsid w:val="0073093A"/>
    <w:rsid w:val="007359F8"/>
    <w:rsid w:val="00742E7E"/>
    <w:rsid w:val="00744149"/>
    <w:rsid w:val="00745153"/>
    <w:rsid w:val="00747066"/>
    <w:rsid w:val="007533BE"/>
    <w:rsid w:val="00755AC0"/>
    <w:rsid w:val="00756FAE"/>
    <w:rsid w:val="007601BC"/>
    <w:rsid w:val="00761096"/>
    <w:rsid w:val="00761D97"/>
    <w:rsid w:val="007630E1"/>
    <w:rsid w:val="00766267"/>
    <w:rsid w:val="00767B0F"/>
    <w:rsid w:val="0077393B"/>
    <w:rsid w:val="007747D5"/>
    <w:rsid w:val="00776127"/>
    <w:rsid w:val="007773A2"/>
    <w:rsid w:val="0078010E"/>
    <w:rsid w:val="00781F7D"/>
    <w:rsid w:val="00782076"/>
    <w:rsid w:val="007931AC"/>
    <w:rsid w:val="007946E1"/>
    <w:rsid w:val="00794AD2"/>
    <w:rsid w:val="007951A7"/>
    <w:rsid w:val="007A21EE"/>
    <w:rsid w:val="007A79AE"/>
    <w:rsid w:val="007B1711"/>
    <w:rsid w:val="007C0005"/>
    <w:rsid w:val="007C0017"/>
    <w:rsid w:val="007C037C"/>
    <w:rsid w:val="007C0816"/>
    <w:rsid w:val="007C13F0"/>
    <w:rsid w:val="007C4812"/>
    <w:rsid w:val="007C4BFC"/>
    <w:rsid w:val="007D3FFE"/>
    <w:rsid w:val="007E47BE"/>
    <w:rsid w:val="007F1D73"/>
    <w:rsid w:val="007F2DD1"/>
    <w:rsid w:val="007F4B06"/>
    <w:rsid w:val="007F5846"/>
    <w:rsid w:val="007F7251"/>
    <w:rsid w:val="007F74AC"/>
    <w:rsid w:val="00805D94"/>
    <w:rsid w:val="008063AE"/>
    <w:rsid w:val="0080788B"/>
    <w:rsid w:val="00811BA5"/>
    <w:rsid w:val="00813B97"/>
    <w:rsid w:val="008152F1"/>
    <w:rsid w:val="008166B2"/>
    <w:rsid w:val="008278EF"/>
    <w:rsid w:val="00837135"/>
    <w:rsid w:val="00844B0B"/>
    <w:rsid w:val="00845509"/>
    <w:rsid w:val="008455FF"/>
    <w:rsid w:val="008474FE"/>
    <w:rsid w:val="00847F61"/>
    <w:rsid w:val="00850F2F"/>
    <w:rsid w:val="008532BC"/>
    <w:rsid w:val="0085349A"/>
    <w:rsid w:val="00855714"/>
    <w:rsid w:val="008607F6"/>
    <w:rsid w:val="00864AAC"/>
    <w:rsid w:val="00864C8C"/>
    <w:rsid w:val="00866231"/>
    <w:rsid w:val="00876F3F"/>
    <w:rsid w:val="00877C45"/>
    <w:rsid w:val="00880EF2"/>
    <w:rsid w:val="00881721"/>
    <w:rsid w:val="00881D07"/>
    <w:rsid w:val="0088217D"/>
    <w:rsid w:val="00882D07"/>
    <w:rsid w:val="00892DC5"/>
    <w:rsid w:val="00894906"/>
    <w:rsid w:val="00897722"/>
    <w:rsid w:val="008A0046"/>
    <w:rsid w:val="008A2273"/>
    <w:rsid w:val="008A378A"/>
    <w:rsid w:val="008A6236"/>
    <w:rsid w:val="008B3903"/>
    <w:rsid w:val="008B59B7"/>
    <w:rsid w:val="008C0FE8"/>
    <w:rsid w:val="008C1170"/>
    <w:rsid w:val="008C2F1F"/>
    <w:rsid w:val="008C2F5D"/>
    <w:rsid w:val="008C30C6"/>
    <w:rsid w:val="008C752A"/>
    <w:rsid w:val="008C75E1"/>
    <w:rsid w:val="008D06BA"/>
    <w:rsid w:val="008D4CFF"/>
    <w:rsid w:val="008D5509"/>
    <w:rsid w:val="008D5B97"/>
    <w:rsid w:val="008D7F31"/>
    <w:rsid w:val="008E0944"/>
    <w:rsid w:val="008E303C"/>
    <w:rsid w:val="008E54E0"/>
    <w:rsid w:val="008E656D"/>
    <w:rsid w:val="008F0600"/>
    <w:rsid w:val="008F2F65"/>
    <w:rsid w:val="008F6A4F"/>
    <w:rsid w:val="009003AC"/>
    <w:rsid w:val="00900846"/>
    <w:rsid w:val="009048C1"/>
    <w:rsid w:val="0091662A"/>
    <w:rsid w:val="009168DF"/>
    <w:rsid w:val="00921E0B"/>
    <w:rsid w:val="00922271"/>
    <w:rsid w:val="00922712"/>
    <w:rsid w:val="0092378D"/>
    <w:rsid w:val="00924639"/>
    <w:rsid w:val="00926A7E"/>
    <w:rsid w:val="00931EFD"/>
    <w:rsid w:val="00933D0E"/>
    <w:rsid w:val="00937A7E"/>
    <w:rsid w:val="009423B2"/>
    <w:rsid w:val="00943553"/>
    <w:rsid w:val="00944CD4"/>
    <w:rsid w:val="0094610E"/>
    <w:rsid w:val="00950256"/>
    <w:rsid w:val="00950B7F"/>
    <w:rsid w:val="00956992"/>
    <w:rsid w:val="00963FBC"/>
    <w:rsid w:val="009644E4"/>
    <w:rsid w:val="0096489A"/>
    <w:rsid w:val="00966DBB"/>
    <w:rsid w:val="00967B82"/>
    <w:rsid w:val="00985206"/>
    <w:rsid w:val="00986331"/>
    <w:rsid w:val="009901D8"/>
    <w:rsid w:val="00991ABC"/>
    <w:rsid w:val="009939FC"/>
    <w:rsid w:val="00997C3F"/>
    <w:rsid w:val="009A22DB"/>
    <w:rsid w:val="009A2A27"/>
    <w:rsid w:val="009A2BA2"/>
    <w:rsid w:val="009A3325"/>
    <w:rsid w:val="009A40CF"/>
    <w:rsid w:val="009A5C60"/>
    <w:rsid w:val="009A6B02"/>
    <w:rsid w:val="009A6C39"/>
    <w:rsid w:val="009B5B65"/>
    <w:rsid w:val="009B6092"/>
    <w:rsid w:val="009B6901"/>
    <w:rsid w:val="009C04F3"/>
    <w:rsid w:val="009C2CCC"/>
    <w:rsid w:val="009C3BA5"/>
    <w:rsid w:val="009D0DAC"/>
    <w:rsid w:val="009D3989"/>
    <w:rsid w:val="009D49DB"/>
    <w:rsid w:val="009D5BF5"/>
    <w:rsid w:val="009D60B1"/>
    <w:rsid w:val="009D65A8"/>
    <w:rsid w:val="009F22B7"/>
    <w:rsid w:val="00A00339"/>
    <w:rsid w:val="00A00BB1"/>
    <w:rsid w:val="00A03505"/>
    <w:rsid w:val="00A05A34"/>
    <w:rsid w:val="00A05EF5"/>
    <w:rsid w:val="00A06714"/>
    <w:rsid w:val="00A06E9E"/>
    <w:rsid w:val="00A070D8"/>
    <w:rsid w:val="00A111F0"/>
    <w:rsid w:val="00A12EB3"/>
    <w:rsid w:val="00A17203"/>
    <w:rsid w:val="00A23957"/>
    <w:rsid w:val="00A261D9"/>
    <w:rsid w:val="00A26678"/>
    <w:rsid w:val="00A27D61"/>
    <w:rsid w:val="00A30489"/>
    <w:rsid w:val="00A3072A"/>
    <w:rsid w:val="00A30B6E"/>
    <w:rsid w:val="00A32456"/>
    <w:rsid w:val="00A32DB6"/>
    <w:rsid w:val="00A36B9F"/>
    <w:rsid w:val="00A37C0E"/>
    <w:rsid w:val="00A421D7"/>
    <w:rsid w:val="00A427BF"/>
    <w:rsid w:val="00A42FE3"/>
    <w:rsid w:val="00A539D1"/>
    <w:rsid w:val="00A5556E"/>
    <w:rsid w:val="00A70B59"/>
    <w:rsid w:val="00A710A0"/>
    <w:rsid w:val="00A733BA"/>
    <w:rsid w:val="00A747D1"/>
    <w:rsid w:val="00A74DBD"/>
    <w:rsid w:val="00A77334"/>
    <w:rsid w:val="00A773B8"/>
    <w:rsid w:val="00A81527"/>
    <w:rsid w:val="00A86D16"/>
    <w:rsid w:val="00A906DC"/>
    <w:rsid w:val="00A966ED"/>
    <w:rsid w:val="00A96E8D"/>
    <w:rsid w:val="00AA2898"/>
    <w:rsid w:val="00AB100C"/>
    <w:rsid w:val="00AB1B88"/>
    <w:rsid w:val="00AB38C1"/>
    <w:rsid w:val="00AB4742"/>
    <w:rsid w:val="00AB5521"/>
    <w:rsid w:val="00AB5F28"/>
    <w:rsid w:val="00AC3623"/>
    <w:rsid w:val="00AC7862"/>
    <w:rsid w:val="00AD04F0"/>
    <w:rsid w:val="00AD1EE9"/>
    <w:rsid w:val="00AD3F2F"/>
    <w:rsid w:val="00AD4CF8"/>
    <w:rsid w:val="00AE191E"/>
    <w:rsid w:val="00AE1FF9"/>
    <w:rsid w:val="00AF07F8"/>
    <w:rsid w:val="00AF374C"/>
    <w:rsid w:val="00AF4924"/>
    <w:rsid w:val="00AF6A18"/>
    <w:rsid w:val="00B00A81"/>
    <w:rsid w:val="00B00E31"/>
    <w:rsid w:val="00B01F86"/>
    <w:rsid w:val="00B020F2"/>
    <w:rsid w:val="00B0280F"/>
    <w:rsid w:val="00B10D23"/>
    <w:rsid w:val="00B137D7"/>
    <w:rsid w:val="00B14BBA"/>
    <w:rsid w:val="00B16D2B"/>
    <w:rsid w:val="00B203B0"/>
    <w:rsid w:val="00B22DD4"/>
    <w:rsid w:val="00B2596B"/>
    <w:rsid w:val="00B25B1B"/>
    <w:rsid w:val="00B310DC"/>
    <w:rsid w:val="00B32541"/>
    <w:rsid w:val="00B32A6E"/>
    <w:rsid w:val="00B34C91"/>
    <w:rsid w:val="00B36CD1"/>
    <w:rsid w:val="00B41458"/>
    <w:rsid w:val="00B43E2D"/>
    <w:rsid w:val="00B44968"/>
    <w:rsid w:val="00B507DC"/>
    <w:rsid w:val="00B50BCE"/>
    <w:rsid w:val="00B51173"/>
    <w:rsid w:val="00B607CD"/>
    <w:rsid w:val="00B62F5C"/>
    <w:rsid w:val="00B6775A"/>
    <w:rsid w:val="00B743DF"/>
    <w:rsid w:val="00B75B02"/>
    <w:rsid w:val="00B7715C"/>
    <w:rsid w:val="00B81255"/>
    <w:rsid w:val="00B81C00"/>
    <w:rsid w:val="00B82615"/>
    <w:rsid w:val="00B84764"/>
    <w:rsid w:val="00B85669"/>
    <w:rsid w:val="00B94C0E"/>
    <w:rsid w:val="00B97A30"/>
    <w:rsid w:val="00BA1EF8"/>
    <w:rsid w:val="00BA2B07"/>
    <w:rsid w:val="00BA3A37"/>
    <w:rsid w:val="00BA6A2E"/>
    <w:rsid w:val="00BA6AEB"/>
    <w:rsid w:val="00BA6D2B"/>
    <w:rsid w:val="00BB02FC"/>
    <w:rsid w:val="00BB0303"/>
    <w:rsid w:val="00BB0758"/>
    <w:rsid w:val="00BB0B4A"/>
    <w:rsid w:val="00BB1B54"/>
    <w:rsid w:val="00BB2C68"/>
    <w:rsid w:val="00BB5CDB"/>
    <w:rsid w:val="00BC422D"/>
    <w:rsid w:val="00BC4351"/>
    <w:rsid w:val="00BC45E1"/>
    <w:rsid w:val="00BC7C78"/>
    <w:rsid w:val="00BD2972"/>
    <w:rsid w:val="00BD755D"/>
    <w:rsid w:val="00BE2CD0"/>
    <w:rsid w:val="00BE6BE8"/>
    <w:rsid w:val="00BF12E9"/>
    <w:rsid w:val="00BF14B3"/>
    <w:rsid w:val="00BF56BC"/>
    <w:rsid w:val="00BF6A98"/>
    <w:rsid w:val="00C04ADB"/>
    <w:rsid w:val="00C04B58"/>
    <w:rsid w:val="00C05C5F"/>
    <w:rsid w:val="00C05F82"/>
    <w:rsid w:val="00C135B6"/>
    <w:rsid w:val="00C14383"/>
    <w:rsid w:val="00C15A65"/>
    <w:rsid w:val="00C163EB"/>
    <w:rsid w:val="00C17F09"/>
    <w:rsid w:val="00C21EF1"/>
    <w:rsid w:val="00C23895"/>
    <w:rsid w:val="00C23B02"/>
    <w:rsid w:val="00C23CD3"/>
    <w:rsid w:val="00C24A35"/>
    <w:rsid w:val="00C30496"/>
    <w:rsid w:val="00C31531"/>
    <w:rsid w:val="00C31A4A"/>
    <w:rsid w:val="00C34092"/>
    <w:rsid w:val="00C34929"/>
    <w:rsid w:val="00C35C50"/>
    <w:rsid w:val="00C37303"/>
    <w:rsid w:val="00C37699"/>
    <w:rsid w:val="00C44EC1"/>
    <w:rsid w:val="00C46972"/>
    <w:rsid w:val="00C47DDA"/>
    <w:rsid w:val="00C500C1"/>
    <w:rsid w:val="00C5194B"/>
    <w:rsid w:val="00C55247"/>
    <w:rsid w:val="00C5533D"/>
    <w:rsid w:val="00C56030"/>
    <w:rsid w:val="00C56265"/>
    <w:rsid w:val="00C57A42"/>
    <w:rsid w:val="00C67C8E"/>
    <w:rsid w:val="00C71F12"/>
    <w:rsid w:val="00C71FC0"/>
    <w:rsid w:val="00C74819"/>
    <w:rsid w:val="00C74DC4"/>
    <w:rsid w:val="00C75257"/>
    <w:rsid w:val="00C8250C"/>
    <w:rsid w:val="00C87CF7"/>
    <w:rsid w:val="00C922CB"/>
    <w:rsid w:val="00C95531"/>
    <w:rsid w:val="00C97233"/>
    <w:rsid w:val="00CA3D36"/>
    <w:rsid w:val="00CA55B0"/>
    <w:rsid w:val="00CA7073"/>
    <w:rsid w:val="00CB2331"/>
    <w:rsid w:val="00CB431C"/>
    <w:rsid w:val="00CB5458"/>
    <w:rsid w:val="00CC3F64"/>
    <w:rsid w:val="00CC7FA0"/>
    <w:rsid w:val="00CE25F1"/>
    <w:rsid w:val="00CE748E"/>
    <w:rsid w:val="00CF0F3D"/>
    <w:rsid w:val="00CF2182"/>
    <w:rsid w:val="00CF3D78"/>
    <w:rsid w:val="00CF4269"/>
    <w:rsid w:val="00CF6E8F"/>
    <w:rsid w:val="00D00792"/>
    <w:rsid w:val="00D027B2"/>
    <w:rsid w:val="00D03C61"/>
    <w:rsid w:val="00D048E6"/>
    <w:rsid w:val="00D052C1"/>
    <w:rsid w:val="00D23C40"/>
    <w:rsid w:val="00D24CB6"/>
    <w:rsid w:val="00D255AA"/>
    <w:rsid w:val="00D331E7"/>
    <w:rsid w:val="00D37634"/>
    <w:rsid w:val="00D4029B"/>
    <w:rsid w:val="00D419FD"/>
    <w:rsid w:val="00D436BD"/>
    <w:rsid w:val="00D436DD"/>
    <w:rsid w:val="00D43F95"/>
    <w:rsid w:val="00D444A0"/>
    <w:rsid w:val="00D46334"/>
    <w:rsid w:val="00D50122"/>
    <w:rsid w:val="00D515E9"/>
    <w:rsid w:val="00D52631"/>
    <w:rsid w:val="00D56014"/>
    <w:rsid w:val="00D565EF"/>
    <w:rsid w:val="00D56D5F"/>
    <w:rsid w:val="00D57C5E"/>
    <w:rsid w:val="00D6065A"/>
    <w:rsid w:val="00D65EE2"/>
    <w:rsid w:val="00D7166D"/>
    <w:rsid w:val="00D72DD4"/>
    <w:rsid w:val="00D73FC0"/>
    <w:rsid w:val="00D7445F"/>
    <w:rsid w:val="00D74DBD"/>
    <w:rsid w:val="00D82807"/>
    <w:rsid w:val="00D838CF"/>
    <w:rsid w:val="00D8417E"/>
    <w:rsid w:val="00D85B41"/>
    <w:rsid w:val="00D873BB"/>
    <w:rsid w:val="00D905F5"/>
    <w:rsid w:val="00D91921"/>
    <w:rsid w:val="00D95753"/>
    <w:rsid w:val="00D97925"/>
    <w:rsid w:val="00DA1D2D"/>
    <w:rsid w:val="00DA4476"/>
    <w:rsid w:val="00DB36C2"/>
    <w:rsid w:val="00DB37AC"/>
    <w:rsid w:val="00DB6185"/>
    <w:rsid w:val="00DC2C60"/>
    <w:rsid w:val="00DC38BE"/>
    <w:rsid w:val="00DC5599"/>
    <w:rsid w:val="00DC6895"/>
    <w:rsid w:val="00DD230A"/>
    <w:rsid w:val="00DD3F14"/>
    <w:rsid w:val="00DD4ED4"/>
    <w:rsid w:val="00DD5386"/>
    <w:rsid w:val="00DD5DFD"/>
    <w:rsid w:val="00DE0329"/>
    <w:rsid w:val="00DE2214"/>
    <w:rsid w:val="00DE249B"/>
    <w:rsid w:val="00DE2F26"/>
    <w:rsid w:val="00DE36C7"/>
    <w:rsid w:val="00DE734C"/>
    <w:rsid w:val="00DE7394"/>
    <w:rsid w:val="00DF1DAF"/>
    <w:rsid w:val="00DF319E"/>
    <w:rsid w:val="00DF5488"/>
    <w:rsid w:val="00DF70B8"/>
    <w:rsid w:val="00E1160B"/>
    <w:rsid w:val="00E137DC"/>
    <w:rsid w:val="00E14830"/>
    <w:rsid w:val="00E15DD7"/>
    <w:rsid w:val="00E16A17"/>
    <w:rsid w:val="00E2107C"/>
    <w:rsid w:val="00E2593D"/>
    <w:rsid w:val="00E32815"/>
    <w:rsid w:val="00E33F12"/>
    <w:rsid w:val="00E36BBC"/>
    <w:rsid w:val="00E43499"/>
    <w:rsid w:val="00E435DE"/>
    <w:rsid w:val="00E44738"/>
    <w:rsid w:val="00E55E3B"/>
    <w:rsid w:val="00E6488D"/>
    <w:rsid w:val="00E65121"/>
    <w:rsid w:val="00E6557D"/>
    <w:rsid w:val="00E7090B"/>
    <w:rsid w:val="00E70F9E"/>
    <w:rsid w:val="00E745A9"/>
    <w:rsid w:val="00E82300"/>
    <w:rsid w:val="00E82980"/>
    <w:rsid w:val="00E852C9"/>
    <w:rsid w:val="00E86B84"/>
    <w:rsid w:val="00E91F24"/>
    <w:rsid w:val="00E925B7"/>
    <w:rsid w:val="00E9393B"/>
    <w:rsid w:val="00E9490B"/>
    <w:rsid w:val="00E96871"/>
    <w:rsid w:val="00EA2080"/>
    <w:rsid w:val="00EA3DE4"/>
    <w:rsid w:val="00EA5602"/>
    <w:rsid w:val="00EA6113"/>
    <w:rsid w:val="00EA6B86"/>
    <w:rsid w:val="00EB3B77"/>
    <w:rsid w:val="00EC0380"/>
    <w:rsid w:val="00EC1D3F"/>
    <w:rsid w:val="00EC237D"/>
    <w:rsid w:val="00EC2AB0"/>
    <w:rsid w:val="00EC30C2"/>
    <w:rsid w:val="00ED2CEE"/>
    <w:rsid w:val="00ED5712"/>
    <w:rsid w:val="00ED589D"/>
    <w:rsid w:val="00EE2BC5"/>
    <w:rsid w:val="00EF2120"/>
    <w:rsid w:val="00EF2D27"/>
    <w:rsid w:val="00EF551C"/>
    <w:rsid w:val="00F051C4"/>
    <w:rsid w:val="00F11683"/>
    <w:rsid w:val="00F12193"/>
    <w:rsid w:val="00F160FE"/>
    <w:rsid w:val="00F162B2"/>
    <w:rsid w:val="00F163C1"/>
    <w:rsid w:val="00F21577"/>
    <w:rsid w:val="00F262A0"/>
    <w:rsid w:val="00F31552"/>
    <w:rsid w:val="00F31C38"/>
    <w:rsid w:val="00F332C7"/>
    <w:rsid w:val="00F33765"/>
    <w:rsid w:val="00F440D2"/>
    <w:rsid w:val="00F45BC3"/>
    <w:rsid w:val="00F50FB5"/>
    <w:rsid w:val="00F51CE8"/>
    <w:rsid w:val="00F54AC6"/>
    <w:rsid w:val="00F612DC"/>
    <w:rsid w:val="00F63036"/>
    <w:rsid w:val="00F6307D"/>
    <w:rsid w:val="00F642F2"/>
    <w:rsid w:val="00F648BD"/>
    <w:rsid w:val="00F65BBB"/>
    <w:rsid w:val="00F670C0"/>
    <w:rsid w:val="00F70F27"/>
    <w:rsid w:val="00F715DE"/>
    <w:rsid w:val="00F74312"/>
    <w:rsid w:val="00F80358"/>
    <w:rsid w:val="00F83EBE"/>
    <w:rsid w:val="00F92EC8"/>
    <w:rsid w:val="00F96522"/>
    <w:rsid w:val="00F974EF"/>
    <w:rsid w:val="00FA29E5"/>
    <w:rsid w:val="00FB262D"/>
    <w:rsid w:val="00FC2578"/>
    <w:rsid w:val="00FC3353"/>
    <w:rsid w:val="00FC74BE"/>
    <w:rsid w:val="00FD22A7"/>
    <w:rsid w:val="00FD45FA"/>
    <w:rsid w:val="00FD714E"/>
    <w:rsid w:val="00FE1E9B"/>
    <w:rsid w:val="00FE56D1"/>
    <w:rsid w:val="00FE6F0E"/>
    <w:rsid w:val="00FE78F1"/>
    <w:rsid w:val="00FF3E57"/>
    <w:rsid w:val="00F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58D4E7A"/>
  <w15:docId w15:val="{862C0E30-76FC-4E0B-833A-12719BE5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711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1C00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1C006C"/>
    <w:pPr>
      <w:keepNext/>
      <w:jc w:val="both"/>
      <w:outlineLvl w:val="1"/>
    </w:pPr>
    <w:rPr>
      <w:rFonts w:ascii="Arial Narrow" w:hAnsi="Arial Narrow"/>
      <w:b/>
      <w:bCs/>
      <w:lang w:val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F051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C04F3"/>
    <w:rPr>
      <w:rFonts w:ascii="Cambria" w:hAnsi="Cambria" w:cs="Times New Roman"/>
      <w:b/>
      <w:bCs/>
      <w:kern w:val="32"/>
      <w:sz w:val="32"/>
      <w:szCs w:val="32"/>
      <w:lang w:val="es-MX"/>
    </w:rPr>
  </w:style>
  <w:style w:type="character" w:customStyle="1" w:styleId="Ttulo2Car">
    <w:name w:val="Título 2 Car"/>
    <w:link w:val="Ttulo2"/>
    <w:uiPriority w:val="99"/>
    <w:semiHidden/>
    <w:locked/>
    <w:rsid w:val="009C04F3"/>
    <w:rPr>
      <w:rFonts w:ascii="Cambria" w:hAnsi="Cambria" w:cs="Times New Roman"/>
      <w:b/>
      <w:bCs/>
      <w:i/>
      <w:iCs/>
      <w:sz w:val="28"/>
      <w:szCs w:val="28"/>
      <w:lang w:val="es-MX"/>
    </w:rPr>
  </w:style>
  <w:style w:type="character" w:customStyle="1" w:styleId="Ttulo3Car">
    <w:name w:val="Título 3 Car"/>
    <w:link w:val="Ttulo3"/>
    <w:uiPriority w:val="99"/>
    <w:semiHidden/>
    <w:locked/>
    <w:rsid w:val="009C04F3"/>
    <w:rPr>
      <w:rFonts w:ascii="Cambria" w:hAnsi="Cambria" w:cs="Times New Roman"/>
      <w:b/>
      <w:bCs/>
      <w:sz w:val="26"/>
      <w:szCs w:val="26"/>
      <w:lang w:val="es-MX"/>
    </w:rPr>
  </w:style>
  <w:style w:type="paragraph" w:styleId="Encabezado">
    <w:name w:val="header"/>
    <w:basedOn w:val="Normal"/>
    <w:link w:val="EncabezadoCar"/>
    <w:rsid w:val="00F051C4"/>
    <w:pPr>
      <w:tabs>
        <w:tab w:val="center" w:pos="4419"/>
        <w:tab w:val="right" w:pos="8838"/>
      </w:tabs>
    </w:pPr>
    <w:rPr>
      <w:rFonts w:ascii="Arial" w:hAnsi="Arial"/>
      <w:lang w:val="es-ES"/>
    </w:rPr>
  </w:style>
  <w:style w:type="character" w:customStyle="1" w:styleId="EncabezadoCar">
    <w:name w:val="Encabezado Car"/>
    <w:link w:val="Encabezado"/>
    <w:semiHidden/>
    <w:locked/>
    <w:rsid w:val="009C04F3"/>
    <w:rPr>
      <w:rFonts w:cs="Times New Roman"/>
      <w:sz w:val="24"/>
      <w:szCs w:val="24"/>
      <w:lang w:val="es-MX"/>
    </w:rPr>
  </w:style>
  <w:style w:type="character" w:styleId="Hipervnculo">
    <w:name w:val="Hyperlink"/>
    <w:uiPriority w:val="99"/>
    <w:rsid w:val="00387643"/>
    <w:rPr>
      <w:rFonts w:ascii="Arial" w:hAnsi="Arial" w:cs="Arial"/>
      <w:color w:val="000000"/>
      <w:sz w:val="16"/>
      <w:szCs w:val="16"/>
      <w:u w:val="single"/>
    </w:rPr>
  </w:style>
  <w:style w:type="table" w:styleId="Tablaconcuadrcula">
    <w:name w:val="Table Grid"/>
    <w:basedOn w:val="Tablanormal"/>
    <w:uiPriority w:val="99"/>
    <w:rsid w:val="00543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5E64D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C04F3"/>
    <w:rPr>
      <w:rFonts w:cs="Times New Roman"/>
      <w:sz w:val="2"/>
      <w:lang w:val="es-MX"/>
    </w:rPr>
  </w:style>
  <w:style w:type="paragraph" w:styleId="Textodebloque">
    <w:name w:val="Block Text"/>
    <w:basedOn w:val="Normal"/>
    <w:uiPriority w:val="99"/>
    <w:rsid w:val="00D24CB6"/>
    <w:pPr>
      <w:ind w:left="180" w:right="110"/>
    </w:pPr>
    <w:rPr>
      <w:rFonts w:ascii="Univers Condensed" w:hAnsi="Univers Condensed" w:cs="Arial"/>
      <w:sz w:val="20"/>
      <w:lang w:val="es-ES"/>
    </w:rPr>
  </w:style>
  <w:style w:type="character" w:styleId="Refdecomentario">
    <w:name w:val="annotation reference"/>
    <w:uiPriority w:val="99"/>
    <w:semiHidden/>
    <w:rsid w:val="004B1873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4B1873"/>
    <w:rPr>
      <w:sz w:val="20"/>
      <w:szCs w:val="20"/>
      <w:lang w:val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26501E"/>
    <w:rPr>
      <w:rFonts w:cs="Times New Roman"/>
      <w:sz w:val="20"/>
      <w:szCs w:val="20"/>
      <w:lang w:val="es-MX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A04BC"/>
    <w:rPr>
      <w:b/>
      <w:bCs/>
      <w:lang w:val="es-MX"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26501E"/>
    <w:rPr>
      <w:rFonts w:cs="Times New Roman"/>
      <w:b/>
      <w:bCs/>
      <w:sz w:val="20"/>
      <w:szCs w:val="20"/>
      <w:lang w:val="es-MX" w:eastAsia="es-ES"/>
    </w:rPr>
  </w:style>
  <w:style w:type="character" w:customStyle="1" w:styleId="CarCar1">
    <w:name w:val="Car Car1"/>
    <w:uiPriority w:val="99"/>
    <w:semiHidden/>
    <w:locked/>
    <w:rsid w:val="0037055B"/>
    <w:rPr>
      <w:rFonts w:ascii="Arial" w:hAnsi="Arial" w:cs="Times New Roman"/>
      <w:sz w:val="24"/>
      <w:szCs w:val="24"/>
      <w:lang w:val="es-ES" w:eastAsia="es-ES" w:bidi="ar-SA"/>
    </w:rPr>
  </w:style>
  <w:style w:type="character" w:styleId="Hipervnculovisitado">
    <w:name w:val="FollowedHyperlink"/>
    <w:rsid w:val="00233A59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CA3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link w:val="HTMLconformatoprevio"/>
    <w:uiPriority w:val="99"/>
    <w:rsid w:val="00CA3D36"/>
    <w:rPr>
      <w:rFonts w:ascii="Courier New" w:hAnsi="Courier New" w:cs="Courier New"/>
    </w:rPr>
  </w:style>
  <w:style w:type="paragraph" w:styleId="Piedepgina">
    <w:name w:val="footer"/>
    <w:basedOn w:val="Normal"/>
    <w:link w:val="PiedepginaCar"/>
    <w:uiPriority w:val="99"/>
    <w:unhideWhenUsed/>
    <w:rsid w:val="00B8476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76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F74312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89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0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TASA DE PARTICIPACIÓN ECONÓMICA</vt:lpstr>
    </vt:vector>
  </TitlesOfParts>
  <Company>INEE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TASA DE PARTICIPACIÓN ECONÓMICA</dc:title>
  <dc:creator>hroblesv</dc:creator>
  <cp:lastModifiedBy>NAA</cp:lastModifiedBy>
  <cp:revision>15</cp:revision>
  <cp:lastPrinted>2016-03-08T22:41:00Z</cp:lastPrinted>
  <dcterms:created xsi:type="dcterms:W3CDTF">2018-12-20T23:22:00Z</dcterms:created>
  <dcterms:modified xsi:type="dcterms:W3CDTF">2019-05-10T01:18:00Z</dcterms:modified>
</cp:coreProperties>
</file>