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2A75" w:rsidRDefault="001D2E66">
      <w:r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114300</wp:posOffset>
                </wp:positionV>
                <wp:extent cx="685800" cy="234950"/>
                <wp:effectExtent l="9525" t="13970" r="9525" b="82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157D" w:rsidRPr="008B5291" w:rsidRDefault="00BC6E63" w:rsidP="00BB7066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RE</w:t>
                            </w:r>
                            <w:r w:rsidR="00A62C63">
                              <w:rPr>
                                <w:sz w:val="20"/>
                                <w:szCs w:val="20"/>
                                <w:lang w:val="es-MX"/>
                              </w:rPr>
                              <w:t>01</w:t>
                            </w:r>
                            <w:r w:rsidR="00036E3A">
                              <w:rPr>
                                <w:sz w:val="20"/>
                                <w:szCs w:val="20"/>
                                <w:lang w:val="es-MX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3pt;margin-top:9pt;width:54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">
                <v:textbox>
                  <w:txbxContent>
                    <w:p w:rsidR="00BC157D" w:rsidRPr="008B5291" w:rsidRDefault="00BC6E63" w:rsidP="00BB7066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sz w:val="20"/>
                          <w:szCs w:val="20"/>
                          <w:lang w:val="es-MX"/>
                        </w:rPr>
                        <w:t>RE</w:t>
                      </w:r>
                      <w:r w:rsidR="00A62C63">
                        <w:rPr>
                          <w:sz w:val="20"/>
                          <w:szCs w:val="20"/>
                          <w:lang w:val="es-MX"/>
                        </w:rPr>
                        <w:t>01</w:t>
                      </w:r>
                      <w:r w:rsidR="00036E3A">
                        <w:rPr>
                          <w:sz w:val="20"/>
                          <w:szCs w:val="20"/>
                          <w:lang w:val="es-MX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2A75" w:rsidRDefault="00EC2A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1E41A7" w:rsidRPr="00D804F7" w:rsidTr="00791C9C">
        <w:trPr>
          <w:trHeight w:val="575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7" w:rsidRPr="005304F6" w:rsidRDefault="003452EF" w:rsidP="00AB31E9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:rsidR="001E41A7" w:rsidRPr="005304F6" w:rsidRDefault="0091732A" w:rsidP="00A70514">
            <w:pPr>
              <w:jc w:val="both"/>
              <w:rPr>
                <w:rFonts w:cs="Arial"/>
                <w:sz w:val="16"/>
                <w:szCs w:val="16"/>
              </w:rPr>
            </w:pPr>
            <w:r w:rsidRPr="0091732A">
              <w:rPr>
                <w:rFonts w:cs="Arial"/>
                <w:sz w:val="16"/>
                <w:szCs w:val="16"/>
              </w:rPr>
              <w:t xml:space="preserve">Porcentaje de estudiantes de </w:t>
            </w:r>
            <w:r w:rsidR="00231B3F">
              <w:rPr>
                <w:rFonts w:cs="Arial"/>
                <w:sz w:val="16"/>
                <w:szCs w:val="16"/>
              </w:rPr>
              <w:t>6</w:t>
            </w:r>
            <w:r w:rsidRPr="0091732A">
              <w:rPr>
                <w:rFonts w:cs="Arial"/>
                <w:sz w:val="16"/>
                <w:szCs w:val="16"/>
              </w:rPr>
              <w:t xml:space="preserve">° de </w:t>
            </w:r>
            <w:r w:rsidR="00231B3F">
              <w:rPr>
                <w:rFonts w:cs="Arial"/>
                <w:sz w:val="16"/>
                <w:szCs w:val="16"/>
              </w:rPr>
              <w:t>primaria</w:t>
            </w:r>
            <w:r w:rsidRPr="0091732A">
              <w:rPr>
                <w:rFonts w:cs="Arial"/>
                <w:sz w:val="16"/>
                <w:szCs w:val="16"/>
              </w:rPr>
              <w:t xml:space="preserve"> que obtienen el nivel I de logro educativo (</w:t>
            </w:r>
            <w:r w:rsidRPr="00A726DF">
              <w:rPr>
                <w:rFonts w:cs="Arial"/>
                <w:sz w:val="16"/>
                <w:szCs w:val="16"/>
              </w:rPr>
              <w:t>insuficiente</w:t>
            </w:r>
            <w:r w:rsidRPr="0091732A">
              <w:rPr>
                <w:rFonts w:cs="Arial"/>
                <w:sz w:val="16"/>
                <w:szCs w:val="16"/>
              </w:rPr>
              <w:t xml:space="preserve">) en los dominios evaluados en las pruebas de </w:t>
            </w:r>
            <w:r w:rsidRPr="003F43E3">
              <w:rPr>
                <w:rFonts w:cs="Arial"/>
                <w:smallCaps/>
                <w:sz w:val="16"/>
                <w:szCs w:val="16"/>
              </w:rPr>
              <w:t>P</w:t>
            </w:r>
            <w:r w:rsidR="00361A2A" w:rsidRPr="003F43E3">
              <w:rPr>
                <w:rFonts w:cs="Arial"/>
                <w:smallCaps/>
                <w:sz w:val="16"/>
                <w:szCs w:val="16"/>
              </w:rPr>
              <w:t>lanea</w:t>
            </w:r>
            <w:r w:rsidRPr="0091732A">
              <w:rPr>
                <w:rFonts w:cs="Arial"/>
                <w:sz w:val="16"/>
                <w:szCs w:val="16"/>
              </w:rPr>
              <w:t>-SEN</w:t>
            </w:r>
          </w:p>
        </w:tc>
      </w:tr>
      <w:tr w:rsidR="001E41A7" w:rsidRPr="00D804F7">
        <w:trPr>
          <w:trHeight w:val="101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7" w:rsidRDefault="003452EF" w:rsidP="00B53271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:rsidR="00114219" w:rsidRPr="00BE3A60" w:rsidRDefault="00FD0071" w:rsidP="00114219">
            <w:pPr>
              <w:jc w:val="both"/>
              <w:rPr>
                <w:rFonts w:cs="Arial"/>
                <w:sz w:val="16"/>
                <w:szCs w:val="16"/>
              </w:rPr>
            </w:pPr>
            <w:r w:rsidRPr="00621D4B">
              <w:rPr>
                <w:rFonts w:cs="Arial"/>
                <w:sz w:val="16"/>
                <w:szCs w:val="16"/>
              </w:rPr>
              <w:t xml:space="preserve">Cantidad de alumnos </w:t>
            </w:r>
            <w:r w:rsidR="00114219">
              <w:rPr>
                <w:rFonts w:cs="Arial"/>
                <w:sz w:val="16"/>
                <w:szCs w:val="16"/>
              </w:rPr>
              <w:t>por</w:t>
            </w:r>
            <w:r w:rsidRPr="00621D4B">
              <w:rPr>
                <w:rFonts w:cs="Arial"/>
                <w:sz w:val="16"/>
                <w:szCs w:val="16"/>
              </w:rPr>
              <w:t xml:space="preserve"> cada cien que alcanza</w:t>
            </w:r>
            <w:r w:rsidRPr="00BD733B">
              <w:rPr>
                <w:rFonts w:cs="Arial"/>
                <w:sz w:val="16"/>
                <w:szCs w:val="16"/>
              </w:rPr>
              <w:t>ron</w:t>
            </w:r>
            <w:r w:rsidRPr="00621D4B">
              <w:rPr>
                <w:rFonts w:cs="Arial"/>
                <w:sz w:val="16"/>
                <w:szCs w:val="16"/>
              </w:rPr>
              <w:t xml:space="preserve"> un puntaje en </w:t>
            </w:r>
            <w:r w:rsidR="006B3BC1">
              <w:rPr>
                <w:rFonts w:cs="Arial"/>
                <w:sz w:val="16"/>
                <w:szCs w:val="16"/>
              </w:rPr>
              <w:t>la</w:t>
            </w:r>
            <w:r w:rsidR="00361A2A" w:rsidRPr="001936D8">
              <w:rPr>
                <w:rFonts w:cs="Arial"/>
                <w:sz w:val="16"/>
                <w:szCs w:val="16"/>
              </w:rPr>
              <w:t xml:space="preserve"> </w:t>
            </w:r>
            <w:r w:rsidR="00FA27FD">
              <w:rPr>
                <w:rFonts w:cs="Arial"/>
                <w:sz w:val="16"/>
                <w:szCs w:val="16"/>
              </w:rPr>
              <w:t xml:space="preserve">modalidad </w:t>
            </w:r>
            <w:r w:rsidR="00361A2A" w:rsidRPr="001936D8">
              <w:rPr>
                <w:rFonts w:cs="Arial"/>
                <w:sz w:val="16"/>
                <w:szCs w:val="16"/>
              </w:rPr>
              <w:t xml:space="preserve">referida al Sistema </w:t>
            </w:r>
            <w:r w:rsidR="00FA27FD">
              <w:rPr>
                <w:rFonts w:cs="Arial"/>
                <w:sz w:val="16"/>
                <w:szCs w:val="16"/>
              </w:rPr>
              <w:t xml:space="preserve">de Educación Obligatoria </w:t>
            </w:r>
            <w:r w:rsidR="00361A2A">
              <w:rPr>
                <w:rFonts w:cs="Arial"/>
                <w:sz w:val="16"/>
                <w:szCs w:val="16"/>
              </w:rPr>
              <w:t xml:space="preserve">(SEN), </w:t>
            </w:r>
            <w:r w:rsidR="006F426B">
              <w:rPr>
                <w:rFonts w:cs="Arial"/>
                <w:sz w:val="16"/>
                <w:szCs w:val="16"/>
              </w:rPr>
              <w:t xml:space="preserve">del </w:t>
            </w:r>
            <w:r w:rsidR="006F426B" w:rsidRPr="00D85652">
              <w:rPr>
                <w:rFonts w:cs="Arial"/>
                <w:sz w:val="16"/>
                <w:szCs w:val="16"/>
              </w:rPr>
              <w:t>Plan Nacional para la Evaluación de los Aprendizajes</w:t>
            </w:r>
            <w:r w:rsidR="006F426B" w:rsidRPr="00A70514">
              <w:rPr>
                <w:rFonts w:cs="Arial"/>
                <w:i/>
                <w:sz w:val="16"/>
                <w:szCs w:val="16"/>
              </w:rPr>
              <w:t xml:space="preserve"> </w:t>
            </w:r>
            <w:r w:rsidR="006F426B">
              <w:rPr>
                <w:rFonts w:cs="Arial"/>
                <w:sz w:val="16"/>
                <w:szCs w:val="16"/>
              </w:rPr>
              <w:t>(</w:t>
            </w:r>
            <w:r w:rsidR="006F426B" w:rsidRPr="00D85652">
              <w:rPr>
                <w:rFonts w:cs="Arial"/>
                <w:smallCaps/>
                <w:sz w:val="16"/>
                <w:szCs w:val="16"/>
              </w:rPr>
              <w:t>Planea</w:t>
            </w:r>
            <w:r w:rsidR="006F426B">
              <w:rPr>
                <w:rFonts w:cs="Arial"/>
                <w:sz w:val="16"/>
                <w:szCs w:val="16"/>
              </w:rPr>
              <w:t>)</w:t>
            </w:r>
            <w:r w:rsidR="00361A2A">
              <w:rPr>
                <w:rFonts w:cs="Arial"/>
                <w:sz w:val="16"/>
                <w:szCs w:val="16"/>
              </w:rPr>
              <w:t>,</w:t>
            </w:r>
            <w:r w:rsidR="005A6F0A">
              <w:rPr>
                <w:rFonts w:cs="Arial"/>
                <w:sz w:val="16"/>
                <w:szCs w:val="16"/>
              </w:rPr>
              <w:t xml:space="preserve"> </w:t>
            </w:r>
            <w:r w:rsidRPr="00621D4B">
              <w:rPr>
                <w:rFonts w:cs="Arial"/>
                <w:sz w:val="16"/>
                <w:szCs w:val="16"/>
              </w:rPr>
              <w:t>que los ubica en el nivel</w:t>
            </w:r>
            <w:r w:rsidR="00BB24BE">
              <w:rPr>
                <w:rFonts w:cs="Arial"/>
                <w:sz w:val="16"/>
                <w:szCs w:val="16"/>
              </w:rPr>
              <w:t xml:space="preserve"> </w:t>
            </w:r>
            <w:r w:rsidR="00114219">
              <w:rPr>
                <w:rFonts w:cs="Arial"/>
                <w:sz w:val="16"/>
                <w:szCs w:val="16"/>
              </w:rPr>
              <w:t xml:space="preserve">I </w:t>
            </w:r>
            <w:r w:rsidRPr="00621D4B">
              <w:rPr>
                <w:rFonts w:cs="Arial"/>
                <w:sz w:val="16"/>
                <w:szCs w:val="16"/>
              </w:rPr>
              <w:t>de logro</w:t>
            </w:r>
            <w:r w:rsidR="00BB24BE">
              <w:rPr>
                <w:rFonts w:cs="Arial"/>
                <w:sz w:val="16"/>
                <w:szCs w:val="16"/>
              </w:rPr>
              <w:t xml:space="preserve"> </w:t>
            </w:r>
            <w:r w:rsidR="00114219">
              <w:rPr>
                <w:rFonts w:cs="Arial"/>
                <w:sz w:val="16"/>
                <w:szCs w:val="16"/>
              </w:rPr>
              <w:t>educativo</w:t>
            </w:r>
            <w:r w:rsidR="00361A2A">
              <w:rPr>
                <w:rFonts w:cs="Arial"/>
                <w:sz w:val="16"/>
                <w:szCs w:val="16"/>
              </w:rPr>
              <w:t>. Esto</w:t>
            </w:r>
            <w:r w:rsidR="00114219">
              <w:rPr>
                <w:rFonts w:cs="Arial"/>
                <w:sz w:val="16"/>
                <w:szCs w:val="16"/>
              </w:rPr>
              <w:t xml:space="preserve"> </w:t>
            </w:r>
            <w:r w:rsidR="00BB24BE">
              <w:rPr>
                <w:rFonts w:cs="Arial"/>
                <w:sz w:val="16"/>
                <w:szCs w:val="16"/>
              </w:rPr>
              <w:t xml:space="preserve">indica que </w:t>
            </w:r>
            <w:r w:rsidR="00B00A5B">
              <w:rPr>
                <w:rFonts w:cs="Arial"/>
                <w:sz w:val="16"/>
                <w:szCs w:val="16"/>
              </w:rPr>
              <w:t xml:space="preserve">tienen </w:t>
            </w:r>
            <w:r w:rsidR="006D7556">
              <w:rPr>
                <w:rFonts w:cs="Arial"/>
                <w:sz w:val="16"/>
                <w:szCs w:val="16"/>
              </w:rPr>
              <w:t xml:space="preserve">un logro </w:t>
            </w:r>
            <w:r w:rsidR="006D7556" w:rsidRPr="00A726DF">
              <w:rPr>
                <w:rFonts w:cs="Arial"/>
                <w:sz w:val="16"/>
                <w:szCs w:val="16"/>
              </w:rPr>
              <w:t>insuficiente</w:t>
            </w:r>
            <w:r w:rsidR="006D755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6D7556">
              <w:rPr>
                <w:rFonts w:cs="Arial"/>
                <w:sz w:val="16"/>
                <w:szCs w:val="16"/>
              </w:rPr>
              <w:t>de los aprendizajes clave del currícul</w:t>
            </w:r>
            <w:r w:rsidR="004163F8">
              <w:rPr>
                <w:rFonts w:cs="Arial"/>
                <w:sz w:val="16"/>
                <w:szCs w:val="16"/>
              </w:rPr>
              <w:t>o</w:t>
            </w:r>
            <w:r w:rsidR="006D7556">
              <w:rPr>
                <w:rFonts w:cs="Arial"/>
                <w:sz w:val="16"/>
                <w:szCs w:val="16"/>
              </w:rPr>
              <w:t xml:space="preserve">, </w:t>
            </w:r>
            <w:r w:rsidR="00361A2A">
              <w:rPr>
                <w:rFonts w:cs="Arial"/>
                <w:sz w:val="16"/>
                <w:szCs w:val="16"/>
              </w:rPr>
              <w:t>es decir,</w:t>
            </w:r>
            <w:r w:rsidR="006D7556">
              <w:rPr>
                <w:rFonts w:cs="Arial"/>
                <w:sz w:val="16"/>
                <w:szCs w:val="16"/>
              </w:rPr>
              <w:t xml:space="preserve"> carencias </w:t>
            </w:r>
            <w:r w:rsidR="006D7556" w:rsidRPr="004F4A86">
              <w:rPr>
                <w:rFonts w:cs="Arial"/>
                <w:sz w:val="16"/>
                <w:szCs w:val="16"/>
              </w:rPr>
              <w:t>fundamentales</w:t>
            </w:r>
            <w:r w:rsidR="006D7556" w:rsidRPr="00BE3A60">
              <w:rPr>
                <w:rFonts w:cs="Arial"/>
                <w:sz w:val="16"/>
                <w:szCs w:val="16"/>
              </w:rPr>
              <w:t xml:space="preserve"> </w:t>
            </w:r>
            <w:r w:rsidR="00843FB4" w:rsidRPr="00BE3A60">
              <w:rPr>
                <w:rFonts w:cs="Arial"/>
                <w:sz w:val="16"/>
                <w:szCs w:val="16"/>
              </w:rPr>
              <w:t>en</w:t>
            </w:r>
            <w:r w:rsidR="006D7556" w:rsidRPr="00BE3A60">
              <w:rPr>
                <w:rFonts w:cs="Arial"/>
                <w:sz w:val="16"/>
                <w:szCs w:val="16"/>
              </w:rPr>
              <w:t xml:space="preserve"> el aprendizaje </w:t>
            </w:r>
            <w:r w:rsidR="00490598" w:rsidRPr="00BE3A60">
              <w:rPr>
                <w:rFonts w:cs="Arial"/>
                <w:sz w:val="16"/>
                <w:szCs w:val="16"/>
              </w:rPr>
              <w:t>de las competencias de</w:t>
            </w:r>
            <w:r w:rsidR="00114219" w:rsidRPr="00BE3A60">
              <w:rPr>
                <w:rFonts w:cs="Arial"/>
                <w:sz w:val="16"/>
                <w:szCs w:val="16"/>
              </w:rPr>
              <w:t xml:space="preserve"> </w:t>
            </w:r>
            <w:r w:rsidR="00003470" w:rsidRPr="00BE3A60">
              <w:rPr>
                <w:rFonts w:cs="Arial"/>
                <w:sz w:val="16"/>
                <w:szCs w:val="16"/>
              </w:rPr>
              <w:t xml:space="preserve">Lenguaje y </w:t>
            </w:r>
            <w:r w:rsidR="00361A2A" w:rsidRPr="00BE3A60">
              <w:rPr>
                <w:rFonts w:cs="Arial"/>
                <w:sz w:val="16"/>
                <w:szCs w:val="16"/>
              </w:rPr>
              <w:t>C</w:t>
            </w:r>
            <w:r w:rsidR="00114219" w:rsidRPr="00BE3A60">
              <w:rPr>
                <w:rFonts w:cs="Arial"/>
                <w:sz w:val="16"/>
                <w:szCs w:val="16"/>
              </w:rPr>
              <w:t>omunicación y Matemáticas.</w:t>
            </w:r>
          </w:p>
          <w:p w:rsidR="00114219" w:rsidRPr="00BE3A60" w:rsidRDefault="00114219" w:rsidP="00114219">
            <w:pPr>
              <w:jc w:val="both"/>
              <w:rPr>
                <w:rFonts w:cs="Arial"/>
                <w:sz w:val="16"/>
                <w:szCs w:val="16"/>
              </w:rPr>
            </w:pPr>
          </w:p>
          <w:p w:rsidR="00114219" w:rsidRPr="000307AC" w:rsidRDefault="00490598" w:rsidP="00221644">
            <w:pPr>
              <w:jc w:val="both"/>
              <w:rPr>
                <w:rFonts w:cs="Arial"/>
                <w:sz w:val="16"/>
                <w:szCs w:val="16"/>
                <w:highlight w:val="yellow"/>
              </w:rPr>
            </w:pPr>
            <w:r w:rsidRPr="00BE3A60">
              <w:rPr>
                <w:rFonts w:cs="Arial"/>
                <w:sz w:val="16"/>
                <w:szCs w:val="16"/>
              </w:rPr>
              <w:t xml:space="preserve">Los alumnos de </w:t>
            </w:r>
            <w:r w:rsidR="00231B3F" w:rsidRPr="00BE3A60">
              <w:rPr>
                <w:rFonts w:cs="Arial"/>
                <w:sz w:val="16"/>
                <w:szCs w:val="16"/>
              </w:rPr>
              <w:t>sexto de primaria</w:t>
            </w:r>
            <w:r w:rsidRPr="00BE3A60">
              <w:rPr>
                <w:rFonts w:cs="Arial"/>
                <w:sz w:val="16"/>
                <w:szCs w:val="16"/>
              </w:rPr>
              <w:t xml:space="preserve"> que se </w:t>
            </w:r>
            <w:r w:rsidR="00E807A8" w:rsidRPr="00BE3A60">
              <w:rPr>
                <w:rFonts w:cs="Arial"/>
                <w:sz w:val="16"/>
                <w:szCs w:val="16"/>
              </w:rPr>
              <w:t>ubican</w:t>
            </w:r>
            <w:r w:rsidRPr="00BE3A60">
              <w:rPr>
                <w:rFonts w:cs="Arial"/>
                <w:sz w:val="16"/>
                <w:szCs w:val="16"/>
              </w:rPr>
              <w:t xml:space="preserve"> en el nivel I de logro educativo en Lenguaje y </w:t>
            </w:r>
            <w:r w:rsidR="00E807A8" w:rsidRPr="00BE3A60">
              <w:rPr>
                <w:rFonts w:cs="Arial"/>
                <w:sz w:val="16"/>
                <w:szCs w:val="16"/>
              </w:rPr>
              <w:t>C</w:t>
            </w:r>
            <w:r w:rsidRPr="00BE3A60">
              <w:rPr>
                <w:rFonts w:cs="Arial"/>
                <w:sz w:val="16"/>
                <w:szCs w:val="16"/>
              </w:rPr>
              <w:t>omunicación,</w:t>
            </w:r>
            <w:r w:rsidR="006F426B" w:rsidRPr="00BE3A60">
              <w:rPr>
                <w:rFonts w:cs="Arial"/>
                <w:sz w:val="16"/>
                <w:szCs w:val="16"/>
              </w:rPr>
              <w:t xml:space="preserve"> por ejemplo,</w:t>
            </w:r>
            <w:r w:rsidR="000307AC" w:rsidRPr="00BE3A60">
              <w:rPr>
                <w:rFonts w:cs="Arial"/>
                <w:sz w:val="16"/>
                <w:szCs w:val="16"/>
              </w:rPr>
              <w:t xml:space="preserve"> tienen dificultades para</w:t>
            </w:r>
            <w:r w:rsidR="00E05FDA" w:rsidRPr="00BE3A60">
              <w:rPr>
                <w:rFonts w:cs="Arial"/>
                <w:sz w:val="16"/>
                <w:szCs w:val="16"/>
              </w:rPr>
              <w:t xml:space="preserve"> alcanza</w:t>
            </w:r>
            <w:r w:rsidR="000307AC" w:rsidRPr="00BE3A60">
              <w:rPr>
                <w:rFonts w:cs="Arial"/>
                <w:sz w:val="16"/>
                <w:szCs w:val="16"/>
              </w:rPr>
              <w:t>r</w:t>
            </w:r>
            <w:r w:rsidR="00E05FDA" w:rsidRPr="00BE3A60">
              <w:rPr>
                <w:rFonts w:cs="Arial"/>
                <w:sz w:val="16"/>
                <w:szCs w:val="16"/>
              </w:rPr>
              <w:t xml:space="preserve"> a comprender </w:t>
            </w:r>
            <w:r w:rsidR="00533D52" w:rsidRPr="00BE3A60">
              <w:rPr>
                <w:rFonts w:cs="Arial"/>
                <w:sz w:val="16"/>
                <w:szCs w:val="16"/>
              </w:rPr>
              <w:t xml:space="preserve">la información </w:t>
            </w:r>
            <w:r w:rsidR="00533D52" w:rsidRPr="004F4A86">
              <w:rPr>
                <w:rFonts w:cs="Arial"/>
                <w:sz w:val="16"/>
                <w:szCs w:val="16"/>
              </w:rPr>
              <w:t xml:space="preserve">contenida </w:t>
            </w:r>
            <w:r w:rsidR="000307AC" w:rsidRPr="004F4A86">
              <w:rPr>
                <w:rFonts w:cs="Arial"/>
                <w:sz w:val="16"/>
                <w:szCs w:val="16"/>
              </w:rPr>
              <w:t xml:space="preserve">y </w:t>
            </w:r>
            <w:r w:rsidR="00533D52" w:rsidRPr="004F4A86">
              <w:rPr>
                <w:rFonts w:cs="Arial"/>
                <w:sz w:val="16"/>
                <w:szCs w:val="16"/>
              </w:rPr>
              <w:t>reconoce</w:t>
            </w:r>
            <w:r w:rsidR="000307AC" w:rsidRPr="004F4A86">
              <w:rPr>
                <w:rFonts w:cs="Arial"/>
                <w:sz w:val="16"/>
                <w:szCs w:val="16"/>
              </w:rPr>
              <w:t>r</w:t>
            </w:r>
            <w:r w:rsidR="00533D52" w:rsidRPr="004F4A86">
              <w:rPr>
                <w:rFonts w:cs="Arial"/>
                <w:sz w:val="16"/>
                <w:szCs w:val="16"/>
              </w:rPr>
              <w:t xml:space="preserve"> la estructura general de algunos </w:t>
            </w:r>
            <w:r w:rsidR="00E05FDA" w:rsidRPr="004F4A86">
              <w:rPr>
                <w:rFonts w:cs="Arial"/>
                <w:sz w:val="16"/>
                <w:szCs w:val="16"/>
              </w:rPr>
              <w:t>textos expositivos y narrativos</w:t>
            </w:r>
            <w:r w:rsidR="000307AC" w:rsidRPr="00BE3A60">
              <w:rPr>
                <w:rFonts w:cs="Arial"/>
                <w:sz w:val="16"/>
                <w:szCs w:val="16"/>
              </w:rPr>
              <w:t xml:space="preserve">; </w:t>
            </w:r>
            <w:r w:rsidR="00221644" w:rsidRPr="00BE3A60">
              <w:rPr>
                <w:rFonts w:cs="Arial"/>
                <w:sz w:val="16"/>
                <w:szCs w:val="16"/>
              </w:rPr>
              <w:t>tampoco logran elaborar inferencias simples para interpretar el lenguaje figurado de un poema</w:t>
            </w:r>
            <w:r w:rsidR="0002056B" w:rsidRPr="004F4A86">
              <w:rPr>
                <w:rFonts w:cs="Arial"/>
                <w:sz w:val="16"/>
                <w:szCs w:val="16"/>
              </w:rPr>
              <w:t>,</w:t>
            </w:r>
            <w:r w:rsidR="0002056B" w:rsidRPr="00BE3A60">
              <w:rPr>
                <w:rFonts w:cs="Arial"/>
                <w:sz w:val="16"/>
                <w:szCs w:val="16"/>
              </w:rPr>
              <w:t xml:space="preserve"> ni utilizar conjunciones y nexos de causa efecto en oraciones complejas</w:t>
            </w:r>
            <w:r w:rsidR="00221644" w:rsidRPr="00BE3A60">
              <w:rPr>
                <w:rFonts w:cs="Arial"/>
                <w:sz w:val="16"/>
                <w:szCs w:val="16"/>
              </w:rPr>
              <w:t>. En cambio, s</w:t>
            </w:r>
            <w:r w:rsidR="005E3C17" w:rsidRPr="00BE3A60">
              <w:rPr>
                <w:rFonts w:cs="Arial"/>
                <w:sz w:val="16"/>
                <w:szCs w:val="16"/>
              </w:rPr>
              <w:t>í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 pueden seleccionar información sencilla de texto</w:t>
            </w:r>
            <w:r w:rsidR="00FD16AF" w:rsidRPr="00BE3A60">
              <w:rPr>
                <w:rFonts w:cs="Arial"/>
                <w:sz w:val="16"/>
                <w:szCs w:val="16"/>
              </w:rPr>
              <w:t>s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 </w:t>
            </w:r>
            <w:r w:rsidR="00FD16AF" w:rsidRPr="00BE3A60">
              <w:rPr>
                <w:rFonts w:cs="Arial"/>
                <w:sz w:val="16"/>
                <w:szCs w:val="16"/>
              </w:rPr>
              <w:t>narrativos y expositivos</w:t>
            </w:r>
            <w:r w:rsidR="000307AC" w:rsidRPr="00BE3A60">
              <w:rPr>
                <w:rFonts w:cs="Arial"/>
                <w:sz w:val="16"/>
                <w:szCs w:val="16"/>
              </w:rPr>
              <w:t>, además de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comprender </w:t>
            </w:r>
            <w:r w:rsidR="00FD16AF" w:rsidRPr="00BE3A60">
              <w:rPr>
                <w:rFonts w:cs="Arial"/>
                <w:sz w:val="16"/>
                <w:szCs w:val="16"/>
              </w:rPr>
              <w:t>la estructura de oraciones simples (sujeto y predicado)</w:t>
            </w:r>
            <w:r w:rsidRPr="00BE3A60">
              <w:rPr>
                <w:rFonts w:cs="Arial"/>
                <w:sz w:val="16"/>
                <w:szCs w:val="16"/>
              </w:rPr>
              <w:t xml:space="preserve">. </w:t>
            </w:r>
            <w:r w:rsidR="00221644" w:rsidRPr="00BE3A60">
              <w:rPr>
                <w:rFonts w:cs="Arial"/>
                <w:sz w:val="16"/>
                <w:szCs w:val="16"/>
              </w:rPr>
              <w:t>En el dominio de</w:t>
            </w:r>
            <w:r w:rsidRPr="00BE3A60">
              <w:rPr>
                <w:rFonts w:cs="Arial"/>
                <w:sz w:val="16"/>
                <w:szCs w:val="16"/>
              </w:rPr>
              <w:t xml:space="preserve"> Matemáticas</w:t>
            </w:r>
            <w:r w:rsidR="006F426B" w:rsidRPr="00BE3A60">
              <w:rPr>
                <w:rFonts w:cs="Arial"/>
                <w:sz w:val="16"/>
                <w:szCs w:val="16"/>
              </w:rPr>
              <w:t xml:space="preserve">, </w:t>
            </w:r>
            <w:r w:rsidR="00155B3A" w:rsidRPr="00BE3A60">
              <w:rPr>
                <w:rFonts w:cs="Arial"/>
                <w:sz w:val="16"/>
                <w:szCs w:val="16"/>
              </w:rPr>
              <w:t>por ejemplo, l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os alumnos </w:t>
            </w:r>
            <w:r w:rsidR="00155B3A" w:rsidRPr="00BE3A60">
              <w:rPr>
                <w:rFonts w:cs="Arial"/>
                <w:sz w:val="16"/>
                <w:szCs w:val="16"/>
              </w:rPr>
              <w:t xml:space="preserve">logran </w:t>
            </w:r>
            <w:r w:rsidR="00221644" w:rsidRPr="00BE3A60">
              <w:rPr>
                <w:rFonts w:cs="Arial"/>
                <w:sz w:val="16"/>
                <w:szCs w:val="16"/>
              </w:rPr>
              <w:t>re</w:t>
            </w:r>
            <w:r w:rsidR="00155B3A" w:rsidRPr="00BE3A60">
              <w:rPr>
                <w:rFonts w:cs="Arial"/>
                <w:sz w:val="16"/>
                <w:szCs w:val="16"/>
              </w:rPr>
              <w:t>solver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 problemas aplicando </w:t>
            </w:r>
            <w:r w:rsidR="00FD16AF" w:rsidRPr="00BE3A60">
              <w:rPr>
                <w:rFonts w:cs="Arial"/>
                <w:sz w:val="16"/>
                <w:szCs w:val="16"/>
              </w:rPr>
              <w:t>operaciones básicas (suma, resta, multiplicación y división) con números naturales</w:t>
            </w:r>
            <w:r w:rsidR="000F7966" w:rsidRPr="00BE3A60">
              <w:rPr>
                <w:rFonts w:cs="Arial"/>
                <w:sz w:val="16"/>
                <w:szCs w:val="16"/>
              </w:rPr>
              <w:t>, así como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calcula</w:t>
            </w:r>
            <w:r w:rsidR="00155B3A" w:rsidRPr="00BE3A60">
              <w:rPr>
                <w:rFonts w:cs="Arial"/>
                <w:sz w:val="16"/>
                <w:szCs w:val="16"/>
              </w:rPr>
              <w:t>r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el perímetro en figuras regulares e interpreta</w:t>
            </w:r>
            <w:r w:rsidR="005E3C17" w:rsidRPr="00BE3A60">
              <w:rPr>
                <w:rFonts w:cs="Arial"/>
                <w:sz w:val="16"/>
                <w:szCs w:val="16"/>
              </w:rPr>
              <w:t>r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gr</w:t>
            </w:r>
            <w:r w:rsidR="005E3C17" w:rsidRPr="00BE3A60">
              <w:rPr>
                <w:rFonts w:cs="Arial"/>
                <w:sz w:val="16"/>
                <w:szCs w:val="16"/>
              </w:rPr>
              <w:t>á</w:t>
            </w:r>
            <w:r w:rsidR="00FD16AF" w:rsidRPr="00BE3A60">
              <w:rPr>
                <w:rFonts w:cs="Arial"/>
                <w:sz w:val="16"/>
                <w:szCs w:val="16"/>
              </w:rPr>
              <w:t>ficas de barras</w:t>
            </w:r>
            <w:r w:rsidR="00221644" w:rsidRPr="00BE3A60">
              <w:rPr>
                <w:rFonts w:cs="Arial"/>
                <w:sz w:val="16"/>
                <w:szCs w:val="16"/>
              </w:rPr>
              <w:t xml:space="preserve">; sin embargo, no 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llegan a </w:t>
            </w:r>
            <w:r w:rsidR="00155B3A" w:rsidRPr="00BE3A60">
              <w:rPr>
                <w:rFonts w:cs="Arial"/>
                <w:sz w:val="16"/>
                <w:szCs w:val="16"/>
              </w:rPr>
              <w:t>solucionar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problemas </w:t>
            </w:r>
            <w:r w:rsidR="004B4739" w:rsidRPr="00BE3A60">
              <w:rPr>
                <w:rFonts w:cs="Arial"/>
                <w:sz w:val="16"/>
                <w:szCs w:val="16"/>
              </w:rPr>
              <w:t>aritméticos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con números decimales</w:t>
            </w:r>
            <w:r w:rsidR="00FD16AF" w:rsidRPr="004F4A86">
              <w:rPr>
                <w:rFonts w:cs="Arial"/>
                <w:sz w:val="16"/>
                <w:szCs w:val="16"/>
              </w:rPr>
              <w:t>,</w:t>
            </w:r>
            <w:r w:rsidR="00FD16AF" w:rsidRPr="00BE3A60">
              <w:rPr>
                <w:rFonts w:cs="Arial"/>
                <w:sz w:val="16"/>
                <w:szCs w:val="16"/>
              </w:rPr>
              <w:t xml:space="preserve"> ni a calcular</w:t>
            </w:r>
            <w:r w:rsidR="00FD16AF" w:rsidRPr="000307AC">
              <w:rPr>
                <w:rFonts w:cs="Arial"/>
                <w:sz w:val="16"/>
                <w:szCs w:val="16"/>
              </w:rPr>
              <w:t xml:space="preserve"> el perímetro de figuras irregulares y porcentajes</w:t>
            </w:r>
            <w:r w:rsidR="000307AC" w:rsidRPr="000307AC">
              <w:rPr>
                <w:rFonts w:cs="Arial"/>
                <w:sz w:val="16"/>
                <w:szCs w:val="16"/>
              </w:rPr>
              <w:t>,</w:t>
            </w:r>
            <w:r w:rsidR="00FD16AF" w:rsidRPr="000307AC">
              <w:rPr>
                <w:rFonts w:cs="Arial"/>
                <w:sz w:val="16"/>
                <w:szCs w:val="16"/>
              </w:rPr>
              <w:t xml:space="preserve"> </w:t>
            </w:r>
            <w:r w:rsidR="00221644" w:rsidRPr="000307AC">
              <w:rPr>
                <w:rFonts w:cs="Arial"/>
                <w:sz w:val="16"/>
                <w:szCs w:val="16"/>
              </w:rPr>
              <w:t>entre otras habilidades curriculares evaluadas en PLANEA-SEN.</w:t>
            </w:r>
          </w:p>
        </w:tc>
      </w:tr>
      <w:tr w:rsidR="001E41A7" w:rsidRPr="00D804F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5304F6" w:rsidRDefault="000F012B" w:rsidP="00B53271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5304F6">
              <w:rPr>
                <w:rFonts w:cs="Arial"/>
                <w:b/>
                <w:sz w:val="16"/>
                <w:szCs w:val="16"/>
              </w:rPr>
              <w:t>Fó</w:t>
            </w:r>
            <w:r w:rsidR="003452EF">
              <w:rPr>
                <w:rFonts w:cs="Arial"/>
                <w:b/>
                <w:sz w:val="16"/>
                <w:szCs w:val="16"/>
              </w:rPr>
              <w:t>rmula de cálculo</w:t>
            </w:r>
          </w:p>
          <w:p w:rsidR="002158BF" w:rsidRPr="008B0053" w:rsidRDefault="004B4739" w:rsidP="0086361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4B4739">
              <w:rPr>
                <w:position w:val="-38"/>
                <w:sz w:val="18"/>
                <w:szCs w:val="20"/>
              </w:rPr>
              <w:object w:dxaOrig="1200" w:dyaOrig="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57.75pt" o:ole="">
                  <v:imagedata r:id="rId8" o:title=""/>
                </v:shape>
                <o:OLEObject Type="Embed" ProgID="Equation.3" ShapeID="_x0000_i1025" DrawAspect="Content" ObjectID="_1615705005" r:id="rId9"/>
              </w:objec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80"/>
              <w:gridCol w:w="7115"/>
            </w:tblGrid>
            <w:tr w:rsidR="007315A5" w:rsidRPr="005304F6" w:rsidTr="00CF32E6">
              <w:tc>
                <w:tcPr>
                  <w:tcW w:w="1080" w:type="dxa"/>
                </w:tcPr>
                <w:p w:rsidR="007315A5" w:rsidRPr="005304F6" w:rsidRDefault="00A70514" w:rsidP="000F012B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 w:rsidRPr="00FD0071">
                    <w:rPr>
                      <w:position w:val="-18"/>
                    </w:rPr>
                    <w:object w:dxaOrig="580" w:dyaOrig="480">
                      <v:shape id="_x0000_i1026" type="#_x0000_t75" style="width:28.5pt;height:24pt" o:ole="">
                        <v:imagedata r:id="rId10" o:title=""/>
                      </v:shape>
                      <o:OLEObject Type="Embed" ProgID="Equation.3" ShapeID="_x0000_i1026" DrawAspect="Content" ObjectID="_1615705006" r:id="rId11"/>
                    </w:object>
                  </w:r>
                </w:p>
              </w:tc>
              <w:tc>
                <w:tcPr>
                  <w:tcW w:w="7115" w:type="dxa"/>
                </w:tcPr>
                <w:p w:rsidR="00A33D92" w:rsidRPr="005304F6" w:rsidRDefault="00C056BD" w:rsidP="00A33D92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Número estimado de estudiantes en el grado </w:t>
                  </w:r>
                  <w:r w:rsidRPr="00621D4B">
                    <w:rPr>
                      <w:rFonts w:cs="Arial"/>
                      <w:bCs/>
                      <w:i/>
                      <w:sz w:val="16"/>
                      <w:szCs w:val="16"/>
                    </w:rPr>
                    <w:t>g</w:t>
                  </w: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 cuyo puntaje los ubicó en el nivel</w:t>
                  </w:r>
                  <w:r w:rsidR="006D7556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2D74DB">
                    <w:rPr>
                      <w:rFonts w:cs="Arial"/>
                      <w:bCs/>
                      <w:sz w:val="16"/>
                      <w:szCs w:val="16"/>
                    </w:rPr>
                    <w:t xml:space="preserve">I </w:t>
                  </w: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de </w:t>
                  </w:r>
                  <w:r w:rsidRPr="00181CCC">
                    <w:rPr>
                      <w:rFonts w:cs="Arial"/>
                      <w:bCs/>
                      <w:sz w:val="16"/>
                      <w:szCs w:val="16"/>
                    </w:rPr>
                    <w:t>logro</w:t>
                  </w: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2D74DB">
                    <w:rPr>
                      <w:rFonts w:cs="Arial"/>
                      <w:bCs/>
                      <w:sz w:val="16"/>
                      <w:szCs w:val="16"/>
                    </w:rPr>
                    <w:t>educativo</w:t>
                  </w:r>
                  <w:r w:rsidRPr="00621D4B">
                    <w:rPr>
                      <w:rFonts w:cs="Arial"/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en el </w:t>
                  </w:r>
                  <w:r w:rsidR="00A70514">
                    <w:rPr>
                      <w:rFonts w:cs="Arial"/>
                      <w:bCs/>
                      <w:sz w:val="16"/>
                      <w:szCs w:val="16"/>
                    </w:rPr>
                    <w:t>dominio</w:t>
                  </w: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A70514" w:rsidRPr="00A70514">
                    <w:rPr>
                      <w:rFonts w:cs="Arial"/>
                      <w:bCs/>
                      <w:i/>
                      <w:sz w:val="16"/>
                      <w:szCs w:val="16"/>
                    </w:rPr>
                    <w:t>D</w:t>
                  </w:r>
                  <w:r w:rsidR="00B36711">
                    <w:rPr>
                      <w:rFonts w:cs="Arial"/>
                      <w:bCs/>
                      <w:i/>
                      <w:sz w:val="16"/>
                      <w:szCs w:val="16"/>
                    </w:rPr>
                    <w:t>.</w:t>
                  </w:r>
                </w:p>
                <w:p w:rsidR="007315A5" w:rsidRPr="005304F6" w:rsidRDefault="007315A5" w:rsidP="000F012B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E46A95" w:rsidRPr="005304F6" w:rsidTr="00CF32E6">
              <w:tc>
                <w:tcPr>
                  <w:tcW w:w="1080" w:type="dxa"/>
                </w:tcPr>
                <w:p w:rsidR="00E46A95" w:rsidRPr="005304F6" w:rsidRDefault="00A70514" w:rsidP="00714574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 w:rsidRPr="00FD0071">
                    <w:rPr>
                      <w:rFonts w:cs="Arial"/>
                      <w:bCs/>
                      <w:i/>
                      <w:position w:val="-16"/>
                      <w:sz w:val="16"/>
                      <w:szCs w:val="16"/>
                    </w:rPr>
                    <w:object w:dxaOrig="540" w:dyaOrig="460">
                      <v:shape id="_x0000_i1027" type="#_x0000_t75" style="width:26.25pt;height:21.75pt" o:ole="">
                        <v:imagedata r:id="rId12" o:title=""/>
                      </v:shape>
                      <o:OLEObject Type="Embed" ProgID="Equation.3" ShapeID="_x0000_i1027" DrawAspect="Content" ObjectID="_1615705007" r:id="rId13"/>
                    </w:object>
                  </w:r>
                </w:p>
              </w:tc>
              <w:tc>
                <w:tcPr>
                  <w:tcW w:w="7115" w:type="dxa"/>
                </w:tcPr>
                <w:p w:rsidR="00E46A95" w:rsidRDefault="00C056BD" w:rsidP="00714574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 w:rsidRPr="006D7556">
                    <w:rPr>
                      <w:rFonts w:cs="Arial"/>
                      <w:bCs/>
                      <w:sz w:val="16"/>
                      <w:szCs w:val="16"/>
                    </w:rPr>
                    <w:t xml:space="preserve">Número estimado de estudiantes en el grado </w:t>
                  </w:r>
                  <w:r w:rsidRPr="006D7556">
                    <w:rPr>
                      <w:rFonts w:cs="Arial"/>
                      <w:bCs/>
                      <w:i/>
                      <w:sz w:val="16"/>
                      <w:szCs w:val="16"/>
                    </w:rPr>
                    <w:t>g,</w:t>
                  </w:r>
                  <w:r w:rsidRPr="006D7556">
                    <w:rPr>
                      <w:rFonts w:cs="Arial"/>
                      <w:bCs/>
                      <w:sz w:val="16"/>
                      <w:szCs w:val="16"/>
                    </w:rPr>
                    <w:t xml:space="preserve"> evaluados en el </w:t>
                  </w:r>
                  <w:r w:rsidR="00A70514">
                    <w:rPr>
                      <w:rFonts w:cs="Arial"/>
                      <w:bCs/>
                      <w:sz w:val="16"/>
                      <w:szCs w:val="16"/>
                    </w:rPr>
                    <w:t>dominio</w:t>
                  </w:r>
                  <w:r w:rsidRPr="006D7556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A70514">
                    <w:rPr>
                      <w:rFonts w:cs="Arial"/>
                      <w:bCs/>
                      <w:i/>
                      <w:sz w:val="16"/>
                      <w:szCs w:val="16"/>
                    </w:rPr>
                    <w:t>D</w:t>
                  </w:r>
                  <w:r w:rsidR="00B36711" w:rsidRPr="006D7556">
                    <w:rPr>
                      <w:rFonts w:cs="Arial"/>
                      <w:bCs/>
                      <w:i/>
                      <w:sz w:val="16"/>
                      <w:szCs w:val="16"/>
                    </w:rPr>
                    <w:t>.</w:t>
                  </w:r>
                </w:p>
                <w:p w:rsidR="00200E66" w:rsidRDefault="00200E66" w:rsidP="00714574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</w:p>
                <w:p w:rsidR="00200E66" w:rsidRPr="006D7556" w:rsidRDefault="00200E66" w:rsidP="00714574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C056BD" w:rsidRPr="005304F6" w:rsidTr="00CF32E6">
              <w:tc>
                <w:tcPr>
                  <w:tcW w:w="1080" w:type="dxa"/>
                </w:tcPr>
                <w:p w:rsidR="00C056BD" w:rsidRPr="005304F6" w:rsidRDefault="00C056BD" w:rsidP="000F012B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i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7115" w:type="dxa"/>
                </w:tcPr>
                <w:p w:rsidR="00C056BD" w:rsidRDefault="00C056BD" w:rsidP="00FD007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621D4B">
                    <w:rPr>
                      <w:rFonts w:cs="Arial"/>
                      <w:bCs/>
                      <w:sz w:val="16"/>
                      <w:szCs w:val="16"/>
                    </w:rPr>
                    <w:t xml:space="preserve">Grado escolar: </w:t>
                  </w:r>
                  <w:r w:rsidR="00221644">
                    <w:rPr>
                      <w:rFonts w:cs="Arial"/>
                      <w:sz w:val="16"/>
                      <w:szCs w:val="16"/>
                    </w:rPr>
                    <w:t>6° de primaria</w:t>
                  </w:r>
                  <w:r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  <w:p w:rsidR="00C056BD" w:rsidRPr="005304F6" w:rsidRDefault="00C056BD" w:rsidP="00FD0071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7315A5" w:rsidRPr="005304F6" w:rsidTr="00CF32E6">
              <w:tc>
                <w:tcPr>
                  <w:tcW w:w="1080" w:type="dxa"/>
                </w:tcPr>
                <w:p w:rsidR="007315A5" w:rsidRPr="005304F6" w:rsidRDefault="00A70514" w:rsidP="000F012B">
                  <w:pPr>
                    <w:rPr>
                      <w:rFonts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7115" w:type="dxa"/>
                </w:tcPr>
                <w:p w:rsidR="00382184" w:rsidRPr="00E807A8" w:rsidRDefault="00A70514" w:rsidP="00FD0071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  <w:r>
                    <w:rPr>
                      <w:rFonts w:cs="Arial"/>
                      <w:bCs/>
                      <w:sz w:val="16"/>
                      <w:szCs w:val="16"/>
                    </w:rPr>
                    <w:t>Dominios</w:t>
                  </w:r>
                  <w:r w:rsidR="00A33D92" w:rsidRPr="005304F6">
                    <w:rPr>
                      <w:rFonts w:cs="Arial"/>
                      <w:bCs/>
                      <w:sz w:val="16"/>
                      <w:szCs w:val="16"/>
                    </w:rPr>
                    <w:t xml:space="preserve"> evalua</w:t>
                  </w:r>
                  <w:r w:rsidR="00B17BC6">
                    <w:rPr>
                      <w:rFonts w:cs="Arial"/>
                      <w:bCs/>
                      <w:sz w:val="16"/>
                      <w:szCs w:val="16"/>
                    </w:rPr>
                    <w:t>dos</w:t>
                  </w:r>
                  <w:r w:rsidR="006D7556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2D74DB">
                    <w:rPr>
                      <w:rFonts w:cs="Arial"/>
                      <w:bCs/>
                      <w:sz w:val="16"/>
                      <w:szCs w:val="16"/>
                    </w:rPr>
                    <w:t>en</w:t>
                  </w:r>
                  <w:r w:rsidR="006F7D9C">
                    <w:rPr>
                      <w:rFonts w:cs="Arial"/>
                      <w:bCs/>
                      <w:sz w:val="16"/>
                      <w:szCs w:val="16"/>
                    </w:rPr>
                    <w:t xml:space="preserve"> las pruebas de</w:t>
                  </w:r>
                  <w:r w:rsidR="005F1368">
                    <w:rPr>
                      <w:rFonts w:cs="Arial"/>
                      <w:bCs/>
                      <w:sz w:val="16"/>
                      <w:szCs w:val="16"/>
                    </w:rPr>
                    <w:t xml:space="preserve"> </w:t>
                  </w:r>
                  <w:r w:rsidR="003D4055" w:rsidRPr="00AC5658">
                    <w:rPr>
                      <w:rFonts w:cs="Arial"/>
                      <w:bCs/>
                      <w:smallCaps/>
                      <w:sz w:val="16"/>
                      <w:szCs w:val="16"/>
                    </w:rPr>
                    <w:t>Planea</w:t>
                  </w:r>
                  <w:r w:rsidR="006F426B">
                    <w:rPr>
                      <w:rFonts w:cs="Arial"/>
                      <w:bCs/>
                      <w:sz w:val="16"/>
                      <w:szCs w:val="16"/>
                    </w:rPr>
                    <w:t>-SEN</w:t>
                  </w:r>
                  <w:r w:rsidR="00FD0071">
                    <w:rPr>
                      <w:rFonts w:cs="Arial"/>
                      <w:bCs/>
                      <w:sz w:val="16"/>
                      <w:szCs w:val="16"/>
                    </w:rPr>
                    <w:t xml:space="preserve">: </w:t>
                  </w:r>
                  <w:r w:rsidR="003D4055" w:rsidRPr="003F43E3">
                    <w:rPr>
                      <w:rFonts w:cs="Arial"/>
                      <w:bCs/>
                      <w:sz w:val="16"/>
                      <w:szCs w:val="16"/>
                    </w:rPr>
                    <w:t>Lenguaje y Comunicación</w:t>
                  </w:r>
                  <w:r w:rsidR="00381629" w:rsidRPr="00E807A8">
                    <w:rPr>
                      <w:rFonts w:cs="Arial"/>
                      <w:bCs/>
                      <w:sz w:val="16"/>
                      <w:szCs w:val="16"/>
                    </w:rPr>
                    <w:t xml:space="preserve"> y </w:t>
                  </w:r>
                  <w:r w:rsidR="00381629" w:rsidRPr="003F43E3">
                    <w:rPr>
                      <w:rFonts w:cs="Arial"/>
                      <w:bCs/>
                      <w:sz w:val="16"/>
                      <w:szCs w:val="16"/>
                    </w:rPr>
                    <w:t>Matemáticas</w:t>
                  </w:r>
                  <w:r w:rsidR="00B5496F" w:rsidRPr="00E807A8">
                    <w:rPr>
                      <w:rFonts w:cs="Arial"/>
                      <w:bCs/>
                      <w:sz w:val="16"/>
                      <w:szCs w:val="16"/>
                    </w:rPr>
                    <w:t>.</w:t>
                  </w:r>
                </w:p>
                <w:p w:rsidR="00C056BD" w:rsidRPr="005304F6" w:rsidRDefault="00C056BD" w:rsidP="00FD0071">
                  <w:pPr>
                    <w:rPr>
                      <w:rFonts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46A95" w:rsidRPr="005304F6" w:rsidRDefault="00E46A95" w:rsidP="000F012B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1E41A7" w:rsidRPr="00D804F7" w:rsidTr="00F021C1">
        <w:trPr>
          <w:trHeight w:val="635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5304F6" w:rsidRDefault="001E41A7" w:rsidP="00B5327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E41A7" w:rsidRPr="0026312F" w:rsidTr="00DC6DAD">
        <w:trPr>
          <w:trHeight w:val="106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A7" w:rsidRDefault="003452EF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:rsidR="00757237" w:rsidRDefault="002A0351" w:rsidP="002A0351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Entre</w:t>
            </w:r>
            <w:r w:rsidR="00FD0071" w:rsidRPr="004D798D">
              <w:rPr>
                <w:rFonts w:cs="Arial"/>
                <w:sz w:val="16"/>
                <w:szCs w:val="16"/>
              </w:rPr>
              <w:t xml:space="preserve"> mayor sea el </w:t>
            </w:r>
            <w:r>
              <w:rPr>
                <w:rFonts w:cs="Arial"/>
                <w:sz w:val="16"/>
                <w:szCs w:val="16"/>
              </w:rPr>
              <w:t>valor que alcance el indicador, se identifica</w:t>
            </w:r>
            <w:r w:rsidR="00E807A8">
              <w:rPr>
                <w:rFonts w:cs="Arial"/>
                <w:sz w:val="16"/>
                <w:szCs w:val="16"/>
              </w:rPr>
              <w:t>rá</w:t>
            </w:r>
            <w:r>
              <w:rPr>
                <w:rFonts w:cs="Arial"/>
                <w:sz w:val="16"/>
                <w:szCs w:val="16"/>
              </w:rPr>
              <w:t xml:space="preserve"> a un</w:t>
            </w:r>
            <w:r w:rsidR="00FD0071" w:rsidRPr="004D798D">
              <w:rPr>
                <w:rFonts w:cs="Arial"/>
                <w:sz w:val="16"/>
                <w:szCs w:val="16"/>
              </w:rPr>
              <w:t xml:space="preserve"> mayor</w:t>
            </w:r>
            <w:r>
              <w:rPr>
                <w:rFonts w:cs="Arial"/>
                <w:sz w:val="16"/>
                <w:szCs w:val="16"/>
              </w:rPr>
              <w:t xml:space="preserve"> número de alumnos </w:t>
            </w:r>
            <w:r w:rsidR="00C61D90">
              <w:rPr>
                <w:rFonts w:cs="Arial"/>
                <w:sz w:val="16"/>
                <w:szCs w:val="16"/>
              </w:rPr>
              <w:t>de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89480D">
              <w:rPr>
                <w:rFonts w:cs="Arial"/>
                <w:sz w:val="16"/>
                <w:szCs w:val="16"/>
              </w:rPr>
              <w:t>sexto de primaria</w:t>
            </w:r>
            <w:r>
              <w:rPr>
                <w:rFonts w:cs="Arial"/>
                <w:sz w:val="16"/>
                <w:szCs w:val="16"/>
              </w:rPr>
              <w:t xml:space="preserve"> que no acceden a niveles de desempeño académico </w:t>
            </w:r>
            <w:r w:rsidR="0002056B">
              <w:rPr>
                <w:rFonts w:cs="Arial"/>
                <w:sz w:val="16"/>
                <w:szCs w:val="16"/>
              </w:rPr>
              <w:t>básicos</w:t>
            </w:r>
            <w:r w:rsidR="00D82C38">
              <w:rPr>
                <w:rFonts w:cs="Arial"/>
                <w:sz w:val="16"/>
                <w:szCs w:val="16"/>
              </w:rPr>
              <w:t xml:space="preserve"> (nivel II)</w:t>
            </w:r>
            <w:r>
              <w:rPr>
                <w:rFonts w:cs="Arial"/>
                <w:sz w:val="16"/>
                <w:szCs w:val="16"/>
              </w:rPr>
              <w:t>, satisfactorios</w:t>
            </w:r>
            <w:r w:rsidR="00D82C38">
              <w:rPr>
                <w:rFonts w:cs="Arial"/>
                <w:sz w:val="16"/>
                <w:szCs w:val="16"/>
              </w:rPr>
              <w:t xml:space="preserve"> (nivel III)</w:t>
            </w:r>
            <w:r>
              <w:rPr>
                <w:rFonts w:cs="Arial"/>
                <w:sz w:val="16"/>
                <w:szCs w:val="16"/>
              </w:rPr>
              <w:t xml:space="preserve"> o sobresalientes</w:t>
            </w:r>
            <w:r w:rsidR="00D82C38">
              <w:rPr>
                <w:rFonts w:cs="Arial"/>
                <w:sz w:val="16"/>
                <w:szCs w:val="16"/>
              </w:rPr>
              <w:t xml:space="preserve"> (nivel IV)</w:t>
            </w:r>
            <w:r w:rsidR="00E807A8">
              <w:rPr>
                <w:rFonts w:cs="Arial"/>
                <w:sz w:val="16"/>
                <w:szCs w:val="16"/>
              </w:rPr>
              <w:t xml:space="preserve">. Esto </w:t>
            </w:r>
            <w:r>
              <w:rPr>
                <w:rFonts w:cs="Arial"/>
                <w:sz w:val="16"/>
                <w:szCs w:val="16"/>
              </w:rPr>
              <w:t xml:space="preserve">puede dificultar su trayectoria escolar en tanto </w:t>
            </w:r>
            <w:r w:rsidR="00094913"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e evidencia </w:t>
            </w:r>
            <w:r w:rsidR="00E807A8">
              <w:rPr>
                <w:rFonts w:cs="Arial"/>
                <w:sz w:val="16"/>
                <w:szCs w:val="16"/>
              </w:rPr>
              <w:t xml:space="preserve">que tienen </w:t>
            </w:r>
            <w:r w:rsidR="00D82C38">
              <w:rPr>
                <w:rFonts w:cs="Arial"/>
                <w:sz w:val="16"/>
                <w:szCs w:val="16"/>
              </w:rPr>
              <w:t xml:space="preserve">un déficit importante </w:t>
            </w:r>
            <w:r>
              <w:rPr>
                <w:rFonts w:cs="Arial"/>
                <w:sz w:val="16"/>
                <w:szCs w:val="16"/>
              </w:rPr>
              <w:t xml:space="preserve">sobre </w:t>
            </w:r>
            <w:r w:rsidR="006F426B">
              <w:rPr>
                <w:rFonts w:cs="Arial"/>
                <w:sz w:val="16"/>
                <w:szCs w:val="16"/>
              </w:rPr>
              <w:t xml:space="preserve">los aprendizajes </w:t>
            </w:r>
            <w:r>
              <w:rPr>
                <w:rFonts w:cs="Arial"/>
                <w:sz w:val="16"/>
                <w:szCs w:val="16"/>
              </w:rPr>
              <w:t>clave de los programas de estudios, l</w:t>
            </w:r>
            <w:r w:rsidR="00094913">
              <w:rPr>
                <w:rFonts w:cs="Arial"/>
                <w:sz w:val="16"/>
                <w:szCs w:val="16"/>
              </w:rPr>
              <w:t>os</w:t>
            </w:r>
            <w:r>
              <w:rPr>
                <w:rFonts w:cs="Arial"/>
                <w:sz w:val="16"/>
                <w:szCs w:val="16"/>
              </w:rPr>
              <w:t xml:space="preserve"> cuales son importantes para avanzar e</w:t>
            </w:r>
            <w:r w:rsidR="00D82C38">
              <w:rPr>
                <w:rFonts w:cs="Arial"/>
                <w:sz w:val="16"/>
                <w:szCs w:val="16"/>
              </w:rPr>
              <w:t>n el dominio de las disciplinas</w:t>
            </w:r>
            <w:r>
              <w:rPr>
                <w:rFonts w:cs="Arial"/>
                <w:sz w:val="16"/>
                <w:szCs w:val="16"/>
              </w:rPr>
              <w:t xml:space="preserve"> y seguir aprendiendo</w:t>
            </w:r>
            <w:r w:rsidR="00D82C38">
              <w:rPr>
                <w:rFonts w:cs="Arial"/>
                <w:sz w:val="16"/>
                <w:szCs w:val="16"/>
              </w:rPr>
              <w:t xml:space="preserve">, </w:t>
            </w:r>
            <w:r w:rsidR="00E807A8">
              <w:rPr>
                <w:rFonts w:cs="Arial"/>
                <w:sz w:val="16"/>
                <w:szCs w:val="16"/>
              </w:rPr>
              <w:t xml:space="preserve">es decir, </w:t>
            </w:r>
            <w:r w:rsidR="00D82C38">
              <w:rPr>
                <w:rFonts w:cs="Arial"/>
                <w:sz w:val="16"/>
                <w:szCs w:val="16"/>
              </w:rPr>
              <w:t>realiza</w:t>
            </w:r>
            <w:r w:rsidR="00E807A8">
              <w:rPr>
                <w:rFonts w:cs="Arial"/>
                <w:sz w:val="16"/>
                <w:szCs w:val="16"/>
              </w:rPr>
              <w:t>r</w:t>
            </w:r>
            <w:r w:rsidR="00D82C38">
              <w:rPr>
                <w:rFonts w:cs="Arial"/>
                <w:sz w:val="16"/>
                <w:szCs w:val="16"/>
              </w:rPr>
              <w:t xml:space="preserve"> tareas cada vez más complejas</w:t>
            </w:r>
            <w:r w:rsidR="00843FB4">
              <w:rPr>
                <w:rFonts w:cs="Arial"/>
                <w:sz w:val="16"/>
                <w:szCs w:val="16"/>
              </w:rPr>
              <w:t xml:space="preserve">, acordes </w:t>
            </w:r>
            <w:r w:rsidR="00E807A8">
              <w:rPr>
                <w:rFonts w:cs="Arial"/>
                <w:sz w:val="16"/>
                <w:szCs w:val="16"/>
              </w:rPr>
              <w:t>con</w:t>
            </w:r>
            <w:r w:rsidR="00843FB4">
              <w:rPr>
                <w:rFonts w:cs="Arial"/>
                <w:sz w:val="16"/>
                <w:szCs w:val="16"/>
              </w:rPr>
              <w:t xml:space="preserve"> los grados educativos posteriores</w:t>
            </w:r>
            <w:r>
              <w:rPr>
                <w:rFonts w:cs="Arial"/>
                <w:sz w:val="16"/>
                <w:szCs w:val="16"/>
              </w:rPr>
              <w:t>.</w:t>
            </w:r>
            <w:r w:rsidR="009C152C">
              <w:rPr>
                <w:rFonts w:cs="Arial"/>
                <w:sz w:val="16"/>
                <w:szCs w:val="16"/>
              </w:rPr>
              <w:t xml:space="preserve"> Asimismo</w:t>
            </w:r>
            <w:r w:rsidR="00757237">
              <w:rPr>
                <w:rFonts w:cs="Arial"/>
                <w:sz w:val="16"/>
                <w:szCs w:val="16"/>
              </w:rPr>
              <w:t xml:space="preserve">, </w:t>
            </w:r>
            <w:r w:rsidR="009C152C">
              <w:rPr>
                <w:rFonts w:cs="Arial"/>
                <w:sz w:val="16"/>
                <w:szCs w:val="16"/>
              </w:rPr>
              <w:t xml:space="preserve">si </w:t>
            </w:r>
            <w:r w:rsidR="00757237">
              <w:rPr>
                <w:rFonts w:cs="Arial"/>
                <w:sz w:val="16"/>
                <w:szCs w:val="16"/>
              </w:rPr>
              <w:t xml:space="preserve">se contrasta este indicador entre diferentes subpoblaciones, las desigualdades en los resultados pueden ser un indicador de inequidad en el sistema educativo. </w:t>
            </w:r>
          </w:p>
          <w:p w:rsidR="00663751" w:rsidRDefault="00663751" w:rsidP="002A0351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:rsidR="00663751" w:rsidRDefault="00663751" w:rsidP="002A0351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Es importante señalar que </w:t>
            </w:r>
            <w:r w:rsidR="006F426B">
              <w:rPr>
                <w:rFonts w:cs="Arial"/>
                <w:sz w:val="16"/>
                <w:szCs w:val="16"/>
              </w:rPr>
              <w:t xml:space="preserve">las pruebas de </w:t>
            </w:r>
            <w:r w:rsidRPr="00AC5658">
              <w:rPr>
                <w:rFonts w:cs="Arial"/>
                <w:smallCaps/>
                <w:sz w:val="16"/>
                <w:szCs w:val="16"/>
              </w:rPr>
              <w:t>P</w:t>
            </w:r>
            <w:r w:rsidR="00AB527D" w:rsidRPr="00AC5658">
              <w:rPr>
                <w:rFonts w:cs="Arial"/>
                <w:smallCaps/>
                <w:sz w:val="16"/>
                <w:szCs w:val="16"/>
              </w:rPr>
              <w:t>lanea</w:t>
            </w:r>
            <w:r w:rsidR="006F426B">
              <w:rPr>
                <w:rFonts w:cs="Arial"/>
                <w:sz w:val="16"/>
                <w:szCs w:val="16"/>
              </w:rPr>
              <w:t>-SEN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E807A8">
              <w:rPr>
                <w:rFonts w:cs="Arial"/>
                <w:sz w:val="16"/>
                <w:szCs w:val="16"/>
              </w:rPr>
              <w:t>e</w:t>
            </w:r>
            <w:r w:rsidR="006F426B">
              <w:rPr>
                <w:rFonts w:cs="Arial"/>
                <w:sz w:val="16"/>
                <w:szCs w:val="16"/>
              </w:rPr>
              <w:t>nfa</w:t>
            </w:r>
            <w:r w:rsidR="00E807A8">
              <w:rPr>
                <w:rFonts w:cs="Arial"/>
                <w:sz w:val="16"/>
                <w:szCs w:val="16"/>
              </w:rPr>
              <w:t>tizan</w:t>
            </w:r>
            <w:r w:rsidR="006F426B">
              <w:rPr>
                <w:rFonts w:cs="Arial"/>
                <w:sz w:val="16"/>
                <w:szCs w:val="16"/>
              </w:rPr>
              <w:t xml:space="preserve"> en habilidades </w:t>
            </w:r>
            <w:r w:rsidR="00A70514">
              <w:rPr>
                <w:rFonts w:cs="Arial"/>
                <w:sz w:val="16"/>
                <w:szCs w:val="16"/>
              </w:rPr>
              <w:t xml:space="preserve">curriculares </w:t>
            </w:r>
            <w:r w:rsidR="006F426B">
              <w:rPr>
                <w:rFonts w:cs="Arial"/>
                <w:sz w:val="16"/>
                <w:szCs w:val="16"/>
              </w:rPr>
              <w:t xml:space="preserve">y procesos que requieren mayor demanda cognitiva </w:t>
            </w:r>
            <w:r w:rsidR="00324C25">
              <w:rPr>
                <w:rFonts w:cs="Arial"/>
                <w:sz w:val="16"/>
                <w:szCs w:val="16"/>
              </w:rPr>
              <w:t>en</w:t>
            </w:r>
            <w:r w:rsidR="00E238A3">
              <w:rPr>
                <w:rFonts w:cs="Arial"/>
                <w:sz w:val="16"/>
                <w:szCs w:val="16"/>
              </w:rPr>
              <w:t xml:space="preserve"> </w:t>
            </w:r>
            <w:r w:rsidR="00E807A8">
              <w:rPr>
                <w:rFonts w:cs="Arial"/>
                <w:sz w:val="16"/>
                <w:szCs w:val="16"/>
              </w:rPr>
              <w:t xml:space="preserve">comparación con </w:t>
            </w:r>
            <w:r w:rsidR="00E238A3">
              <w:rPr>
                <w:rFonts w:cs="Arial"/>
                <w:sz w:val="16"/>
                <w:szCs w:val="16"/>
              </w:rPr>
              <w:t>la</w:t>
            </w:r>
            <w:r>
              <w:rPr>
                <w:rFonts w:cs="Arial"/>
                <w:sz w:val="16"/>
                <w:szCs w:val="16"/>
              </w:rPr>
              <w:t xml:space="preserve"> prueba </w:t>
            </w:r>
            <w:r w:rsidR="00E238A3">
              <w:rPr>
                <w:rFonts w:cs="Arial"/>
                <w:sz w:val="16"/>
                <w:szCs w:val="16"/>
              </w:rPr>
              <w:t xml:space="preserve">aplicada </w:t>
            </w:r>
            <w:r>
              <w:rPr>
                <w:rFonts w:cs="Arial"/>
                <w:sz w:val="16"/>
                <w:szCs w:val="16"/>
              </w:rPr>
              <w:t>anterior</w:t>
            </w:r>
            <w:r w:rsidR="00E238A3">
              <w:rPr>
                <w:rFonts w:cs="Arial"/>
                <w:sz w:val="16"/>
                <w:szCs w:val="16"/>
              </w:rPr>
              <w:t>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E238A3">
              <w:rPr>
                <w:rFonts w:cs="Arial"/>
                <w:sz w:val="16"/>
                <w:szCs w:val="16"/>
              </w:rPr>
              <w:t>(</w:t>
            </w:r>
            <w:r w:rsidR="00E238A3" w:rsidRPr="00A726DF">
              <w:rPr>
                <w:rFonts w:cs="Arial"/>
                <w:sz w:val="16"/>
                <w:szCs w:val="16"/>
              </w:rPr>
              <w:t>Exámenes de la Calidad y el Logro Educativos</w:t>
            </w:r>
            <w:r w:rsidR="00E238A3" w:rsidRPr="003F43E3">
              <w:rPr>
                <w:rFonts w:cs="Arial"/>
                <w:sz w:val="16"/>
                <w:szCs w:val="16"/>
              </w:rPr>
              <w:t>,</w:t>
            </w:r>
            <w:r w:rsidR="00E238A3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E238A3" w:rsidRPr="003F43E3">
              <w:rPr>
                <w:rFonts w:cs="Arial"/>
                <w:smallCaps/>
                <w:sz w:val="16"/>
                <w:szCs w:val="16"/>
              </w:rPr>
              <w:t>Excale</w:t>
            </w:r>
            <w:proofErr w:type="spellEnd"/>
            <w:r w:rsidR="00E238A3">
              <w:rPr>
                <w:rFonts w:cs="Arial"/>
                <w:sz w:val="16"/>
                <w:szCs w:val="16"/>
              </w:rPr>
              <w:t>)</w:t>
            </w:r>
            <w:r w:rsidR="005E3C17">
              <w:rPr>
                <w:rFonts w:cs="Arial"/>
                <w:sz w:val="16"/>
                <w:szCs w:val="16"/>
              </w:rPr>
              <w:t>,</w:t>
            </w:r>
            <w:r w:rsidR="00E238A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y está</w:t>
            </w:r>
            <w:r w:rsidR="00AC6101">
              <w:rPr>
                <w:rFonts w:cs="Arial"/>
                <w:sz w:val="16"/>
                <w:szCs w:val="16"/>
              </w:rPr>
              <w:t>n</w:t>
            </w:r>
            <w:r>
              <w:rPr>
                <w:rFonts w:cs="Arial"/>
                <w:sz w:val="16"/>
                <w:szCs w:val="16"/>
              </w:rPr>
              <w:t xml:space="preserve"> elaborada</w:t>
            </w:r>
            <w:r w:rsidR="00AC6101"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AC6101">
              <w:rPr>
                <w:rFonts w:cs="Arial"/>
                <w:sz w:val="16"/>
                <w:szCs w:val="16"/>
              </w:rPr>
              <w:t>a partir de</w:t>
            </w:r>
            <w:r>
              <w:rPr>
                <w:rFonts w:cs="Arial"/>
                <w:sz w:val="16"/>
                <w:szCs w:val="16"/>
              </w:rPr>
              <w:t xml:space="preserve"> aprendizajes clave que preval</w:t>
            </w:r>
            <w:r w:rsidR="00E238A3">
              <w:rPr>
                <w:rFonts w:cs="Arial"/>
                <w:sz w:val="16"/>
                <w:szCs w:val="16"/>
              </w:rPr>
              <w:t xml:space="preserve">ecen a </w:t>
            </w:r>
            <w:r w:rsidR="00AC6101">
              <w:rPr>
                <w:rFonts w:cs="Arial"/>
                <w:sz w:val="16"/>
                <w:szCs w:val="16"/>
              </w:rPr>
              <w:t xml:space="preserve">pesar de </w:t>
            </w:r>
            <w:r w:rsidR="00E238A3">
              <w:rPr>
                <w:rFonts w:cs="Arial"/>
                <w:sz w:val="16"/>
                <w:szCs w:val="16"/>
              </w:rPr>
              <w:t xml:space="preserve">los cambios </w:t>
            </w:r>
            <w:r w:rsidR="00E238A3" w:rsidRPr="004F4A86">
              <w:rPr>
                <w:rFonts w:cs="Arial"/>
                <w:sz w:val="16"/>
                <w:szCs w:val="16"/>
              </w:rPr>
              <w:t>curriculares</w:t>
            </w:r>
            <w:r w:rsidR="00B62DF0" w:rsidRPr="004F4A86">
              <w:rPr>
                <w:rFonts w:cs="Arial"/>
                <w:sz w:val="16"/>
                <w:szCs w:val="16"/>
              </w:rPr>
              <w:t xml:space="preserve"> (INEE, 201</w:t>
            </w:r>
            <w:r w:rsidR="00921F89" w:rsidRPr="004F4A86">
              <w:rPr>
                <w:rFonts w:cs="Arial"/>
                <w:sz w:val="16"/>
                <w:szCs w:val="16"/>
              </w:rPr>
              <w:t>8</w:t>
            </w:r>
            <w:r w:rsidR="00B62DF0" w:rsidRPr="004F4A86">
              <w:rPr>
                <w:rFonts w:cs="Arial"/>
                <w:sz w:val="16"/>
                <w:szCs w:val="16"/>
              </w:rPr>
              <w:t>).</w:t>
            </w:r>
          </w:p>
          <w:p w:rsidR="00DC6DAD" w:rsidRPr="005304F6" w:rsidRDefault="00DC6DAD" w:rsidP="002A0351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E41A7" w:rsidRPr="0026312F" w:rsidTr="00647F09">
        <w:trPr>
          <w:trHeight w:val="345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Default="003452EF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:rsidR="00D82C38" w:rsidRPr="00AC0B12" w:rsidRDefault="00D82B22" w:rsidP="00E234A5">
            <w:pPr>
              <w:tabs>
                <w:tab w:val="left" w:pos="0"/>
              </w:tabs>
              <w:ind w:right="110"/>
              <w:jc w:val="both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El indicador permite realizar un diagnóstico nacional, estatal y por tipo de escuela</w:t>
            </w:r>
            <w:r>
              <w:rPr>
                <w:rFonts w:cs="Arial"/>
                <w:sz w:val="16"/>
                <w:szCs w:val="16"/>
                <w:vertAlign w:val="superscript"/>
              </w:rPr>
              <w:t>1</w:t>
            </w:r>
            <w:r>
              <w:rPr>
                <w:rFonts w:cs="Arial"/>
                <w:sz w:val="16"/>
                <w:szCs w:val="16"/>
              </w:rPr>
              <w:t xml:space="preserve"> que sirve para identificar aquellos estratos en donde se concentran las mayores cantidades de alumnos </w:t>
            </w:r>
            <w:r w:rsidR="005E3C17">
              <w:rPr>
                <w:rFonts w:cs="Arial"/>
                <w:sz w:val="16"/>
                <w:szCs w:val="16"/>
              </w:rPr>
              <w:t>sin</w:t>
            </w:r>
            <w:r>
              <w:rPr>
                <w:rFonts w:cs="Arial"/>
                <w:sz w:val="16"/>
                <w:szCs w:val="16"/>
              </w:rPr>
              <w:t xml:space="preserve"> las habilidades suficientes en los </w:t>
            </w:r>
            <w:r w:rsidR="00A70514">
              <w:rPr>
                <w:rFonts w:cs="Arial"/>
                <w:sz w:val="16"/>
                <w:szCs w:val="16"/>
              </w:rPr>
              <w:t>dominios</w:t>
            </w:r>
            <w:r>
              <w:rPr>
                <w:rFonts w:cs="Arial"/>
                <w:sz w:val="16"/>
                <w:szCs w:val="16"/>
              </w:rPr>
              <w:t xml:space="preserve"> evaluados, acordes </w:t>
            </w:r>
            <w:r w:rsidR="00AC6101">
              <w:rPr>
                <w:rFonts w:cs="Arial"/>
                <w:sz w:val="16"/>
                <w:szCs w:val="16"/>
              </w:rPr>
              <w:t>con e</w:t>
            </w:r>
            <w:r>
              <w:rPr>
                <w:rFonts w:cs="Arial"/>
                <w:sz w:val="16"/>
                <w:szCs w:val="16"/>
              </w:rPr>
              <w:t xml:space="preserve">l grado escolar que cursan, </w:t>
            </w:r>
            <w:r w:rsidR="006A3D66">
              <w:rPr>
                <w:rFonts w:cs="Arial"/>
                <w:sz w:val="16"/>
                <w:szCs w:val="16"/>
              </w:rPr>
              <w:t>que les permitan</w:t>
            </w:r>
            <w:r>
              <w:rPr>
                <w:rFonts w:cs="Arial"/>
                <w:sz w:val="16"/>
                <w:szCs w:val="16"/>
              </w:rPr>
              <w:t xml:space="preserve"> continuar avanzando sin dificultad</w:t>
            </w:r>
            <w:r w:rsidR="00DE5DA5">
              <w:rPr>
                <w:rFonts w:cs="Arial"/>
                <w:sz w:val="16"/>
                <w:szCs w:val="16"/>
              </w:rPr>
              <w:t>. U</w:t>
            </w:r>
            <w:r>
              <w:rPr>
                <w:rFonts w:cs="Arial"/>
                <w:sz w:val="16"/>
                <w:szCs w:val="16"/>
              </w:rPr>
              <w:t>na vez identificados</w:t>
            </w:r>
            <w:r w:rsidR="00DE5DA5">
              <w:rPr>
                <w:rFonts w:cs="Arial"/>
                <w:sz w:val="16"/>
                <w:szCs w:val="16"/>
              </w:rPr>
              <w:t xml:space="preserve"> los alumnos que se encuentran en esta situación, podrán </w:t>
            </w:r>
            <w:r>
              <w:rPr>
                <w:rFonts w:cs="Arial"/>
                <w:sz w:val="16"/>
                <w:szCs w:val="16"/>
              </w:rPr>
              <w:t>s</w:t>
            </w:r>
            <w:r w:rsidR="006C24FD">
              <w:rPr>
                <w:rFonts w:cs="Arial"/>
                <w:sz w:val="16"/>
                <w:szCs w:val="16"/>
              </w:rPr>
              <w:t>er atendidos con acciones sistémicas que contribuyan a mejorar su rendimiento académico.</w:t>
            </w:r>
            <w:r w:rsidR="00E234A5" w:rsidDel="00E234A5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E96AA8" w:rsidRPr="0026312F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AA8" w:rsidRPr="00BC7FCC" w:rsidRDefault="00E96AA8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BC7FCC">
              <w:rPr>
                <w:rFonts w:cs="Arial"/>
                <w:b/>
                <w:sz w:val="16"/>
                <w:szCs w:val="16"/>
              </w:rPr>
              <w:t>Ofrece elementos para evaluar las siguientes di</w:t>
            </w:r>
            <w:r w:rsidR="003452EF" w:rsidRPr="00BC7FCC">
              <w:rPr>
                <w:rFonts w:cs="Arial"/>
                <w:b/>
                <w:sz w:val="16"/>
                <w:szCs w:val="16"/>
              </w:rPr>
              <w:t>mensiones de calidad educativa</w:t>
            </w:r>
          </w:p>
          <w:p w:rsidR="00CF32E6" w:rsidRPr="00961ADB" w:rsidRDefault="00983E56" w:rsidP="00791C9C">
            <w:pPr>
              <w:jc w:val="both"/>
              <w:rPr>
                <w:rFonts w:cs="Arial"/>
                <w:sz w:val="16"/>
                <w:szCs w:val="16"/>
              </w:rPr>
            </w:pPr>
            <w:r w:rsidRPr="00BC7FCC">
              <w:rPr>
                <w:rFonts w:cs="Arial"/>
                <w:sz w:val="16"/>
                <w:szCs w:val="16"/>
              </w:rPr>
              <w:t>Eficacia interna y e</w:t>
            </w:r>
            <w:r w:rsidR="00D0761F" w:rsidRPr="00BC7FCC">
              <w:rPr>
                <w:rFonts w:cs="Arial"/>
                <w:sz w:val="16"/>
                <w:szCs w:val="16"/>
              </w:rPr>
              <w:t>quidad</w:t>
            </w:r>
            <w:r w:rsidR="00B36711" w:rsidRPr="00BC7FCC">
              <w:rPr>
                <w:rFonts w:cs="Arial"/>
                <w:sz w:val="16"/>
                <w:szCs w:val="16"/>
              </w:rPr>
              <w:t>.</w:t>
            </w:r>
          </w:p>
        </w:tc>
      </w:tr>
      <w:tr w:rsidR="001E41A7" w:rsidRPr="0026312F" w:rsidTr="00590055">
        <w:trPr>
          <w:trHeight w:val="704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A7" w:rsidRPr="005304F6" w:rsidRDefault="001E4935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Desagregación</w:t>
            </w:r>
          </w:p>
          <w:p w:rsidR="002D5D25" w:rsidRPr="006F587A" w:rsidRDefault="002D5D25" w:rsidP="00C940EB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  <w:r w:rsidRPr="006F587A">
              <w:rPr>
                <w:rFonts w:cs="Arial"/>
                <w:sz w:val="16"/>
                <w:szCs w:val="16"/>
              </w:rPr>
              <w:t xml:space="preserve">Este indicador se presenta en las siguientes desagregaciones: </w:t>
            </w:r>
            <w:r w:rsidR="00BC7511" w:rsidRPr="006F587A">
              <w:rPr>
                <w:rFonts w:cs="Arial"/>
                <w:bCs/>
                <w:sz w:val="16"/>
                <w:szCs w:val="16"/>
              </w:rPr>
              <w:t>entidad</w:t>
            </w:r>
            <w:r w:rsidR="000D1832" w:rsidRPr="006F587A">
              <w:rPr>
                <w:rFonts w:cs="Arial"/>
                <w:bCs/>
                <w:sz w:val="16"/>
                <w:szCs w:val="16"/>
              </w:rPr>
              <w:t xml:space="preserve"> federativa</w:t>
            </w:r>
            <w:r w:rsidR="004E14C4" w:rsidRPr="006F587A">
              <w:rPr>
                <w:rFonts w:cs="Arial"/>
                <w:bCs/>
                <w:sz w:val="16"/>
                <w:szCs w:val="16"/>
              </w:rPr>
              <w:t>, tipo de escuela</w:t>
            </w:r>
            <w:r w:rsidR="00265ECE" w:rsidRPr="006F587A">
              <w:rPr>
                <w:rFonts w:cs="Arial"/>
                <w:bCs/>
                <w:sz w:val="16"/>
                <w:szCs w:val="16"/>
                <w:vertAlign w:val="superscript"/>
              </w:rPr>
              <w:t>1</w:t>
            </w:r>
            <w:r w:rsidR="000D1832" w:rsidRPr="006F587A">
              <w:rPr>
                <w:rFonts w:cs="Arial"/>
                <w:bCs/>
                <w:sz w:val="16"/>
                <w:szCs w:val="16"/>
              </w:rPr>
              <w:t xml:space="preserve"> y</w:t>
            </w:r>
            <w:r w:rsidR="004B7C2C" w:rsidRPr="006F587A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4E14C4" w:rsidRPr="006F587A">
              <w:rPr>
                <w:rFonts w:cs="Arial"/>
                <w:bCs/>
                <w:sz w:val="16"/>
                <w:szCs w:val="16"/>
              </w:rPr>
              <w:t>sexo</w:t>
            </w:r>
            <w:r w:rsidRPr="006F587A">
              <w:rPr>
                <w:rFonts w:cs="Arial"/>
                <w:bCs/>
                <w:sz w:val="16"/>
                <w:szCs w:val="16"/>
              </w:rPr>
              <w:t>.</w:t>
            </w:r>
          </w:p>
          <w:p w:rsidR="002D5D25" w:rsidRPr="006F587A" w:rsidRDefault="002D5D25" w:rsidP="00C940EB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  <w:r w:rsidRPr="006F587A">
              <w:rPr>
                <w:rFonts w:cs="Arial"/>
                <w:bCs/>
                <w:sz w:val="16"/>
                <w:szCs w:val="16"/>
              </w:rPr>
              <w:t>T</w:t>
            </w:r>
            <w:r w:rsidR="0030417E" w:rsidRPr="006F587A">
              <w:rPr>
                <w:rFonts w:cs="Arial"/>
                <w:bCs/>
                <w:sz w:val="16"/>
                <w:szCs w:val="16"/>
              </w:rPr>
              <w:t>ambién se puede desagregar por nivel de marginación y tamaño de localidad</w:t>
            </w:r>
            <w:r w:rsidR="006222EE" w:rsidRPr="006F587A">
              <w:rPr>
                <w:rFonts w:cs="Arial"/>
                <w:bCs/>
                <w:sz w:val="16"/>
                <w:szCs w:val="16"/>
              </w:rPr>
              <w:t>.</w:t>
            </w:r>
            <w:r w:rsidR="00BC7511" w:rsidRPr="006F587A">
              <w:rPr>
                <w:rFonts w:cs="Arial"/>
                <w:bCs/>
                <w:sz w:val="16"/>
                <w:szCs w:val="16"/>
              </w:rPr>
              <w:t xml:space="preserve"> </w:t>
            </w:r>
          </w:p>
          <w:p w:rsidR="001E41A7" w:rsidRPr="00A726DF" w:rsidRDefault="00AC6101" w:rsidP="00A726DF">
            <w:pPr>
              <w:pStyle w:val="Prrafodelista"/>
              <w:numPr>
                <w:ilvl w:val="0"/>
                <w:numId w:val="4"/>
              </w:numPr>
              <w:ind w:left="170" w:hanging="170"/>
              <w:jc w:val="both"/>
              <w:rPr>
                <w:rFonts w:cs="Arial"/>
                <w:sz w:val="16"/>
                <w:szCs w:val="16"/>
              </w:rPr>
            </w:pPr>
            <w:r w:rsidRPr="00A726DF">
              <w:rPr>
                <w:rFonts w:cs="Arial"/>
                <w:b/>
                <w:bCs/>
                <w:sz w:val="16"/>
                <w:szCs w:val="16"/>
              </w:rPr>
              <w:t>M</w:t>
            </w:r>
            <w:r w:rsidR="00BC7511" w:rsidRPr="00A726DF">
              <w:rPr>
                <w:rFonts w:cs="Arial"/>
                <w:b/>
                <w:bCs/>
                <w:sz w:val="16"/>
                <w:szCs w:val="16"/>
              </w:rPr>
              <w:t>áximo nivel de desagregación</w:t>
            </w:r>
            <w:r w:rsidRPr="00A726DF">
              <w:rPr>
                <w:rFonts w:cs="Arial"/>
                <w:bCs/>
                <w:sz w:val="16"/>
                <w:szCs w:val="16"/>
              </w:rPr>
              <w:t>:</w:t>
            </w:r>
            <w:r w:rsidR="0090514C" w:rsidRPr="00A726DF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BC7511" w:rsidRPr="00A726DF">
              <w:rPr>
                <w:rFonts w:cs="Arial"/>
                <w:bCs/>
                <w:sz w:val="16"/>
                <w:szCs w:val="16"/>
              </w:rPr>
              <w:t xml:space="preserve">entidad federativa. </w:t>
            </w:r>
          </w:p>
          <w:p w:rsidR="008234E7" w:rsidRPr="005304F6" w:rsidRDefault="001E41A7" w:rsidP="00225B6A">
            <w:pPr>
              <w:spacing w:before="120" w:after="60"/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5304F6">
              <w:rPr>
                <w:rFonts w:cs="Arial"/>
                <w:b/>
                <w:sz w:val="16"/>
                <w:szCs w:val="16"/>
              </w:rPr>
              <w:t>Fuente</w:t>
            </w:r>
            <w:r w:rsidR="00BF63F9" w:rsidRPr="005304F6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:rsidR="00FB20CA" w:rsidRPr="00AC6101" w:rsidRDefault="00E234A5" w:rsidP="00FB20CA">
            <w:pPr>
              <w:spacing w:before="40"/>
              <w:ind w:right="108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INEE (</w:t>
            </w:r>
            <w:r w:rsidR="00220424">
              <w:rPr>
                <w:rFonts w:cs="Arial"/>
                <w:sz w:val="16"/>
                <w:szCs w:val="16"/>
              </w:rPr>
              <w:t>201</w:t>
            </w:r>
            <w:r w:rsidR="0089480D">
              <w:rPr>
                <w:rFonts w:cs="Arial"/>
                <w:sz w:val="16"/>
                <w:szCs w:val="16"/>
              </w:rPr>
              <w:t>8</w:t>
            </w:r>
            <w:r w:rsidR="00FB20CA" w:rsidRPr="00621D4B">
              <w:rPr>
                <w:rFonts w:cs="Arial"/>
                <w:sz w:val="16"/>
                <w:szCs w:val="16"/>
              </w:rPr>
              <w:t xml:space="preserve">). </w:t>
            </w:r>
            <w:r w:rsidR="00F0352C" w:rsidRPr="003F43E3">
              <w:rPr>
                <w:rFonts w:cs="Arial"/>
                <w:sz w:val="16"/>
                <w:szCs w:val="16"/>
              </w:rPr>
              <w:t xml:space="preserve">Plan Nacional para la Evaluación de los </w:t>
            </w:r>
            <w:r w:rsidR="00984463">
              <w:rPr>
                <w:rFonts w:cs="Arial"/>
                <w:sz w:val="16"/>
                <w:szCs w:val="16"/>
              </w:rPr>
              <w:t>A</w:t>
            </w:r>
            <w:r w:rsidR="00F0352C" w:rsidRPr="003F43E3">
              <w:rPr>
                <w:rFonts w:cs="Arial"/>
                <w:sz w:val="16"/>
                <w:szCs w:val="16"/>
              </w:rPr>
              <w:t>prendizajes</w:t>
            </w:r>
            <w:r w:rsidR="00F0352C" w:rsidRPr="00AC6101">
              <w:rPr>
                <w:rFonts w:cs="Arial"/>
                <w:sz w:val="16"/>
                <w:szCs w:val="16"/>
              </w:rPr>
              <w:t xml:space="preserve"> (</w:t>
            </w:r>
            <w:r w:rsidR="00F0352C" w:rsidRPr="00AC6101">
              <w:rPr>
                <w:rFonts w:cs="Arial"/>
                <w:smallCaps/>
                <w:sz w:val="16"/>
                <w:szCs w:val="16"/>
              </w:rPr>
              <w:t>Planea</w:t>
            </w:r>
            <w:r w:rsidR="00F0352C" w:rsidRPr="00AC6101">
              <w:rPr>
                <w:rFonts w:cs="Arial"/>
                <w:sz w:val="16"/>
                <w:szCs w:val="16"/>
              </w:rPr>
              <w:t>)</w:t>
            </w:r>
            <w:r w:rsidR="00AA66FD" w:rsidRPr="00AC6101">
              <w:rPr>
                <w:rFonts w:cs="Arial"/>
                <w:sz w:val="16"/>
                <w:szCs w:val="16"/>
              </w:rPr>
              <w:t xml:space="preserve"> </w:t>
            </w:r>
            <w:r w:rsidR="00424990" w:rsidRPr="00AC6101">
              <w:rPr>
                <w:rFonts w:cs="Arial"/>
                <w:sz w:val="16"/>
                <w:szCs w:val="16"/>
              </w:rPr>
              <w:t xml:space="preserve">en su modalidad </w:t>
            </w:r>
            <w:r w:rsidR="00424990" w:rsidRPr="003F43E3">
              <w:rPr>
                <w:rFonts w:cs="Arial"/>
                <w:sz w:val="16"/>
                <w:szCs w:val="16"/>
              </w:rPr>
              <w:t xml:space="preserve">referida al Sistema </w:t>
            </w:r>
            <w:r w:rsidR="00FA27FD">
              <w:rPr>
                <w:rFonts w:cs="Arial"/>
                <w:sz w:val="16"/>
                <w:szCs w:val="16"/>
              </w:rPr>
              <w:t xml:space="preserve">de Educación Obligatoria </w:t>
            </w:r>
            <w:r w:rsidR="00424990" w:rsidRPr="00AC6101">
              <w:rPr>
                <w:rFonts w:cs="Arial"/>
                <w:sz w:val="16"/>
                <w:szCs w:val="16"/>
              </w:rPr>
              <w:t>(SEN)</w:t>
            </w:r>
            <w:r w:rsidR="00424990" w:rsidRPr="003F43E3">
              <w:rPr>
                <w:rFonts w:cs="Arial"/>
                <w:sz w:val="16"/>
                <w:szCs w:val="16"/>
              </w:rPr>
              <w:t xml:space="preserve"> </w:t>
            </w:r>
            <w:r w:rsidR="00FB20CA" w:rsidRPr="00AC6101">
              <w:rPr>
                <w:rFonts w:cs="Arial"/>
                <w:sz w:val="16"/>
                <w:szCs w:val="16"/>
              </w:rPr>
              <w:t>para</w:t>
            </w:r>
            <w:r w:rsidR="00F353F8">
              <w:rPr>
                <w:rFonts w:cs="Arial"/>
                <w:sz w:val="16"/>
                <w:szCs w:val="16"/>
              </w:rPr>
              <w:t xml:space="preserve"> </w:t>
            </w:r>
            <w:r w:rsidR="00FB20CA" w:rsidRPr="00AC6101">
              <w:rPr>
                <w:rFonts w:cs="Arial"/>
                <w:sz w:val="16"/>
                <w:szCs w:val="16"/>
              </w:rPr>
              <w:t xml:space="preserve">los alumnos </w:t>
            </w:r>
            <w:r w:rsidR="00C61D90" w:rsidRPr="00AC6101">
              <w:rPr>
                <w:rFonts w:cs="Arial"/>
                <w:sz w:val="16"/>
                <w:szCs w:val="16"/>
              </w:rPr>
              <w:t>de</w:t>
            </w:r>
            <w:r w:rsidR="00FB20CA" w:rsidRPr="00AC6101">
              <w:rPr>
                <w:rFonts w:cs="Arial"/>
                <w:sz w:val="16"/>
                <w:szCs w:val="16"/>
              </w:rPr>
              <w:t xml:space="preserve"> </w:t>
            </w:r>
            <w:r w:rsidR="0089480D">
              <w:rPr>
                <w:rFonts w:cs="Arial"/>
                <w:sz w:val="16"/>
                <w:szCs w:val="16"/>
              </w:rPr>
              <w:t>6° de primaria</w:t>
            </w:r>
            <w:r w:rsidR="00FB20CA" w:rsidRPr="00AC6101">
              <w:rPr>
                <w:rFonts w:cs="Arial"/>
                <w:sz w:val="16"/>
                <w:szCs w:val="16"/>
              </w:rPr>
              <w:t>.</w:t>
            </w:r>
          </w:p>
          <w:p w:rsidR="001E4935" w:rsidRPr="00AC6101" w:rsidRDefault="001E4935" w:rsidP="0002276C">
            <w:pPr>
              <w:jc w:val="both"/>
              <w:rPr>
                <w:rFonts w:cs="Arial"/>
                <w:iCs/>
                <w:sz w:val="16"/>
                <w:szCs w:val="16"/>
              </w:rPr>
            </w:pPr>
          </w:p>
          <w:p w:rsidR="001E41A7" w:rsidRPr="005304F6" w:rsidRDefault="00AC78D1" w:rsidP="00C940EB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Nota</w:t>
            </w:r>
            <w:r w:rsidR="001E41A7" w:rsidRPr="005304F6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5473CA" w:rsidRPr="005304F6" w:rsidRDefault="00424F1A" w:rsidP="00B31571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2"/>
                <w:szCs w:val="12"/>
              </w:rPr>
            </w:pPr>
            <w:r w:rsidRPr="005304F6">
              <w:rPr>
                <w:rFonts w:ascii="Arial (W1)" w:hAnsi="Arial (W1)" w:cs="Arial"/>
                <w:sz w:val="12"/>
                <w:szCs w:val="12"/>
                <w:vertAlign w:val="superscript"/>
              </w:rPr>
              <w:t>1</w:t>
            </w:r>
            <w:r w:rsidR="0089480D" w:rsidRPr="0089480D">
              <w:rPr>
                <w:rFonts w:cs="Arial"/>
                <w:sz w:val="12"/>
                <w:szCs w:val="12"/>
              </w:rPr>
              <w:t xml:space="preserve"> </w:t>
            </w:r>
            <w:proofErr w:type="gramStart"/>
            <w:r w:rsidR="0089480D" w:rsidRPr="0089480D">
              <w:rPr>
                <w:rFonts w:cs="Arial"/>
                <w:sz w:val="12"/>
                <w:szCs w:val="12"/>
              </w:rPr>
              <w:t>Los</w:t>
            </w:r>
            <w:proofErr w:type="gramEnd"/>
            <w:r w:rsidR="0089480D" w:rsidRPr="0089480D">
              <w:rPr>
                <w:rFonts w:cs="Arial"/>
                <w:sz w:val="12"/>
                <w:szCs w:val="12"/>
              </w:rPr>
              <w:t xml:space="preserve"> tipos de escuela en primaria son generales públicas, indígenas, comunitarias y privadas</w:t>
            </w:r>
            <w:r w:rsidR="004957DB">
              <w:rPr>
                <w:rFonts w:cs="Arial"/>
                <w:sz w:val="12"/>
                <w:szCs w:val="12"/>
              </w:rPr>
              <w:t>.</w:t>
            </w:r>
          </w:p>
        </w:tc>
      </w:tr>
    </w:tbl>
    <w:p w:rsidR="00422E54" w:rsidRDefault="00422E54"/>
    <w:p w:rsidR="002F4360" w:rsidRDefault="001D2E66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37465</wp:posOffset>
                </wp:positionV>
                <wp:extent cx="5271135" cy="2620645"/>
                <wp:effectExtent l="6985" t="6350" r="8255" b="1143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1135" cy="2620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B20CA" w:rsidRDefault="00FF085A" w:rsidP="00FB20CA">
                            <w:pPr>
                              <w:spacing w:after="4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:rsidR="00FE07AA" w:rsidRPr="00FE07AA" w:rsidRDefault="00C61D90" w:rsidP="00BD733B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P</w:t>
                            </w:r>
                            <w:r w:rsidRPr="00C61D9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orcentaje de estudiantes de </w:t>
                            </w:r>
                            <w:r w:rsidR="0089480D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  <w:r w:rsidRPr="00C61D9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° de </w:t>
                            </w:r>
                            <w:r w:rsidR="0089480D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primaria</w:t>
                            </w:r>
                            <w:r w:rsidRPr="00C61D9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 que obtienen el nivel I de logro educativo (insuficiente) en los dominios evaluados en las pruebas de </w:t>
                            </w:r>
                            <w:r w:rsidR="00FE07AA">
                              <w:rPr>
                                <w:rFonts w:cs="Arial"/>
                                <w:bCs/>
                                <w:smallCaps/>
                                <w:sz w:val="16"/>
                                <w:szCs w:val="16"/>
                              </w:rPr>
                              <w:t>Planea</w:t>
                            </w:r>
                            <w:r w:rsidR="002D53D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-ELSEN (2015) y </w:t>
                            </w:r>
                            <w:r w:rsidR="00AC6101">
                              <w:rPr>
                                <w:rFonts w:cs="Arial"/>
                                <w:bCs/>
                                <w:smallCaps/>
                                <w:sz w:val="16"/>
                                <w:szCs w:val="16"/>
                              </w:rPr>
                              <w:t>Planea</w:t>
                            </w:r>
                            <w:r w:rsidR="00E234A5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-SEN</w:t>
                            </w:r>
                            <w:r w:rsidR="0089480D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7599F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 w:rsidRPr="00C61D9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201</w:t>
                            </w:r>
                            <w:r w:rsidR="0089480D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8</w:t>
                            </w:r>
                            <w:r w:rsidRPr="00C61D90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  <w:r w:rsidR="002D53D0" w:rsidRPr="002D53D0">
                              <w:rPr>
                                <w:rFonts w:cs="Arial"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  <w:gridCol w:w="1134"/>
                              <w:gridCol w:w="1139"/>
                              <w:gridCol w:w="1139"/>
                              <w:gridCol w:w="1139"/>
                            </w:tblGrid>
                            <w:tr w:rsidR="00FE07AA" w:rsidRPr="00EB0118" w:rsidTr="00FE07AA">
                              <w:trPr>
                                <w:trHeight w:val="278"/>
                              </w:trPr>
                              <w:tc>
                                <w:tcPr>
                                  <w:tcW w:w="2235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Dominios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FE07AA" w:rsidRPr="005A6F0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2278" w:type="dxa"/>
                                  <w:gridSpan w:val="2"/>
                                  <w:vAlign w:val="center"/>
                                </w:tcPr>
                                <w:p w:rsidR="00FE07AA" w:rsidRPr="005A6F0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FE07AA" w:rsidRPr="00EB0118" w:rsidTr="00FE07AA">
                              <w:trPr>
                                <w:trHeight w:val="278"/>
                              </w:trPr>
                              <w:tc>
                                <w:tcPr>
                                  <w:tcW w:w="2235" w:type="dxa"/>
                                  <w:vMerge/>
                                  <w:shd w:val="clear" w:color="auto" w:fill="auto"/>
                                </w:tcPr>
                                <w:p w:rsidR="00FE07AA" w:rsidRPr="009D3214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FE07AA" w:rsidRPr="005A6F0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FE07AA" w:rsidRP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ee</w:t>
                                  </w:r>
                                  <w:proofErr w:type="spellEnd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Pr="005A6F0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P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ee</w:t>
                                  </w:r>
                                  <w:proofErr w:type="spellEnd"/>
                                  <w:r w:rsidRPr="005A6F0A">
                                    <w:rPr>
                                      <w:rFonts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FE07AA" w:rsidRPr="00EB0118" w:rsidTr="00FE07AA">
                              <w:tc>
                                <w:tcPr>
                                  <w:tcW w:w="2235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both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 xml:space="preserve">Lenguaje y 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omunicación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49.5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(0.6)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49.1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(0.6)</w:t>
                                  </w:r>
                                </w:p>
                              </w:tc>
                            </w:tr>
                            <w:tr w:rsidR="00FE07AA" w:rsidRPr="00EB0118" w:rsidTr="00FE07AA">
                              <w:tc>
                                <w:tcPr>
                                  <w:tcW w:w="2235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both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B0118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Matemáticas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60.5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shd w:val="clear" w:color="auto" w:fill="auto"/>
                                </w:tcPr>
                                <w:p w:rsidR="00FE07AA" w:rsidRPr="00EB0118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(0.5)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59.1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:rsidR="00FE07AA" w:rsidRDefault="00FE07AA" w:rsidP="00FE07AA">
                                  <w:pPr>
                                    <w:spacing w:after="40"/>
                                    <w:ind w:right="108"/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  <w:t>(0.5)</w:t>
                                  </w:r>
                                </w:p>
                              </w:tc>
                            </w:tr>
                          </w:tbl>
                          <w:p w:rsidR="00C11806" w:rsidRDefault="00C11806" w:rsidP="00BD733B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9360B9" w:rsidRPr="009360B9" w:rsidRDefault="009360B9" w:rsidP="009360B9">
                            <w:pPr>
                              <w:rPr>
                                <w:vanish/>
                              </w:rPr>
                            </w:pPr>
                          </w:p>
                          <w:p w:rsidR="002D53D0" w:rsidRPr="002D53D0" w:rsidRDefault="00F441FD" w:rsidP="002D53D0">
                            <w:pPr>
                              <w:tabs>
                                <w:tab w:val="left" w:pos="540"/>
                              </w:tabs>
                              <w:spacing w:after="60"/>
                              <w:ind w:right="108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5339D0">
                              <w:rPr>
                                <w:rFonts w:ascii="Arial (W1)" w:hAnsi="Arial (W1)" w:cs="Arial"/>
                                <w:sz w:val="12"/>
                                <w:szCs w:val="12"/>
                                <w:vertAlign w:val="superscript"/>
                              </w:rPr>
                              <w:t>1</w:t>
                            </w:r>
                            <w:r w:rsidR="002D53D0">
                              <w:rPr>
                                <w:rFonts w:ascii="Arial (W1)" w:hAnsi="Arial (W1)" w:cs="Arial"/>
                                <w:sz w:val="12"/>
                                <w:szCs w:val="12"/>
                                <w:vertAlign w:val="superscript"/>
                              </w:rPr>
                              <w:t xml:space="preserve"> </w:t>
                            </w:r>
                            <w:proofErr w:type="gramStart"/>
                            <w:r w:rsidR="002D53D0">
                              <w:rPr>
                                <w:rFonts w:ascii="Arial (W1)" w:hAnsi="Arial (W1)" w:cs="Arial"/>
                                <w:sz w:val="12"/>
                                <w:szCs w:val="12"/>
                              </w:rPr>
                              <w:t>Los</w:t>
                            </w:r>
                            <w:proofErr w:type="gramEnd"/>
                            <w:r w:rsidR="002D53D0">
                              <w:rPr>
                                <w:rFonts w:ascii="Arial (W1)" w:hAnsi="Arial (W1)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2D53D0">
                              <w:rPr>
                                <w:rFonts w:cs="Arial"/>
                                <w:sz w:val="12"/>
                                <w:szCs w:val="12"/>
                              </w:rPr>
                              <w:t>resultados</w:t>
                            </w:r>
                            <w:r w:rsidR="00FE07AA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E3C17">
                              <w:rPr>
                                <w:rFonts w:cs="Arial"/>
                                <w:sz w:val="12"/>
                                <w:szCs w:val="12"/>
                              </w:rPr>
                              <w:t>de los dos</w:t>
                            </w:r>
                            <w:r w:rsidR="00FE07AA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06BEA">
                              <w:rPr>
                                <w:rFonts w:cs="Arial"/>
                                <w:sz w:val="12"/>
                                <w:szCs w:val="12"/>
                              </w:rPr>
                              <w:t>dominios no</w:t>
                            </w:r>
                            <w:r w:rsidR="002D53D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son significativamente diferentes entre ambas aplicaciones, utiliza</w:t>
                            </w:r>
                            <w:r w:rsidR="004957DB">
                              <w:rPr>
                                <w:rFonts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2D53D0">
                              <w:rPr>
                                <w:rFonts w:cs="Arial"/>
                                <w:sz w:val="12"/>
                                <w:szCs w:val="12"/>
                              </w:rPr>
                              <w:t>do la prueba t a un nivel de confianza de 95%.</w:t>
                            </w:r>
                          </w:p>
                          <w:p w:rsidR="002D53D0" w:rsidRPr="00AC6101" w:rsidRDefault="005E3C17" w:rsidP="00F441FD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726DF">
                              <w:rPr>
                                <w:rFonts w:ascii="Arial (W1)" w:hAnsi="Arial (W1)" w:cs="Arial"/>
                                <w:sz w:val="12"/>
                                <w:szCs w:val="12"/>
                              </w:rPr>
                              <w:t>ee.</w:t>
                            </w:r>
                            <w:proofErr w:type="spellEnd"/>
                            <w:r w:rsidR="00F441FD" w:rsidRPr="005339D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Error estándar.</w:t>
                            </w:r>
                          </w:p>
                          <w:p w:rsidR="002F4360" w:rsidRPr="00984463" w:rsidRDefault="00A31489" w:rsidP="002F4360">
                            <w:pPr>
                              <w:tabs>
                                <w:tab w:val="left" w:pos="540"/>
                              </w:tabs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C6101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="00CD0E48" w:rsidRPr="00847AD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B56C18" w:rsidRPr="003F43E3">
                              <w:rPr>
                                <w:rFonts w:cs="Arial"/>
                                <w:iCs/>
                                <w:sz w:val="12"/>
                                <w:szCs w:val="12"/>
                              </w:rPr>
                              <w:t xml:space="preserve">Plan Nacional para la Evaluación de los Aprendizajes </w:t>
                            </w:r>
                            <w:r w:rsidRPr="00AC6101">
                              <w:rPr>
                                <w:rFonts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B56C18" w:rsidRPr="00AC6101">
                              <w:rPr>
                                <w:rFonts w:cs="Arial"/>
                                <w:smallCaps/>
                                <w:sz w:val="12"/>
                                <w:szCs w:val="12"/>
                              </w:rPr>
                              <w:t>Planea</w:t>
                            </w:r>
                            <w:r w:rsidRPr="00847ADC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424990" w:rsidRPr="00663942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en su modalidad </w:t>
                            </w:r>
                            <w:r w:rsidR="00424990" w:rsidRPr="003F43E3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Evaluación del Logro referida al Sistema Educativo Nacional </w:t>
                            </w:r>
                            <w:r w:rsidR="00424990" w:rsidRPr="00AC610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(ELSEN) </w:t>
                            </w:r>
                            <w:r w:rsidR="002D53D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y al Sistema de Educación Obligatoria (SEN) </w:t>
                            </w:r>
                            <w:r w:rsidRPr="00AC610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para los alumnos </w:t>
                            </w:r>
                            <w:r w:rsidR="0089480D">
                              <w:rPr>
                                <w:rFonts w:cs="Arial"/>
                                <w:sz w:val="12"/>
                                <w:szCs w:val="12"/>
                              </w:rPr>
                              <w:t>de 6° de primaria</w:t>
                            </w:r>
                            <w:r w:rsidR="000518F6" w:rsidRPr="00847AD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(bases de datos)</w:t>
                            </w:r>
                            <w:r w:rsidR="00E234A5" w:rsidRPr="00663942">
                              <w:rPr>
                                <w:rFonts w:cs="Arial"/>
                                <w:sz w:val="12"/>
                                <w:szCs w:val="12"/>
                              </w:rPr>
                              <w:t>, INEE (</w:t>
                            </w:r>
                            <w:r w:rsidR="002D53D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2015 y </w:t>
                            </w:r>
                            <w:r w:rsidR="0089480D">
                              <w:rPr>
                                <w:rFonts w:cs="Arial"/>
                                <w:sz w:val="12"/>
                                <w:szCs w:val="12"/>
                              </w:rPr>
                              <w:t>2018</w:t>
                            </w:r>
                            <w:r w:rsidR="00B56C18" w:rsidRPr="00984463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Pr="00984463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7" style="position:absolute;margin-left:1pt;margin-top:2.95pt;width:415.05pt;height:20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">
                <v:textbox>
                  <w:txbxContent>
                    <w:p w:rsidR="00FB20CA" w:rsidRDefault="00FF085A" w:rsidP="00FB20CA">
                      <w:pPr>
                        <w:spacing w:after="4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:rsidR="00FE07AA" w:rsidRPr="00FE07AA" w:rsidRDefault="00C61D90" w:rsidP="00BD733B">
                      <w:pPr>
                        <w:spacing w:after="40"/>
                        <w:ind w:right="108"/>
                        <w:jc w:val="both"/>
                        <w:rPr>
                          <w:rFonts w:cs="Arial"/>
                          <w:bCs/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rFonts w:cs="Arial"/>
                          <w:bCs/>
                          <w:sz w:val="16"/>
                          <w:szCs w:val="16"/>
                        </w:rPr>
                        <w:t>P</w:t>
                      </w:r>
                      <w:r w:rsidRPr="00C61D90">
                        <w:rPr>
                          <w:rFonts w:cs="Arial"/>
                          <w:bCs/>
                          <w:sz w:val="16"/>
                          <w:szCs w:val="16"/>
                        </w:rPr>
                        <w:t xml:space="preserve">orcentaje de estudiantes de </w:t>
                      </w:r>
                      <w:r w:rsidR="0089480D">
                        <w:rPr>
                          <w:rFonts w:cs="Arial"/>
                          <w:bCs/>
                          <w:sz w:val="16"/>
                          <w:szCs w:val="16"/>
                        </w:rPr>
                        <w:t>6</w:t>
                      </w:r>
                      <w:r w:rsidRPr="00C61D90">
                        <w:rPr>
                          <w:rFonts w:cs="Arial"/>
                          <w:bCs/>
                          <w:sz w:val="16"/>
                          <w:szCs w:val="16"/>
                        </w:rPr>
                        <w:t xml:space="preserve">° de </w:t>
                      </w:r>
                      <w:r w:rsidR="0089480D">
                        <w:rPr>
                          <w:rFonts w:cs="Arial"/>
                          <w:bCs/>
                          <w:sz w:val="16"/>
                          <w:szCs w:val="16"/>
                        </w:rPr>
                        <w:t>primaria</w:t>
                      </w:r>
                      <w:r w:rsidRPr="00C61D90">
                        <w:rPr>
                          <w:rFonts w:cs="Arial"/>
                          <w:bCs/>
                          <w:sz w:val="16"/>
                          <w:szCs w:val="16"/>
                        </w:rPr>
                        <w:t xml:space="preserve"> que obtienen el nivel I de logro educativo (insuficiente) en los dominios evaluados en las pruebas de </w:t>
                      </w:r>
                      <w:r w:rsidR="00FE07AA">
                        <w:rPr>
                          <w:rFonts w:cs="Arial"/>
                          <w:bCs/>
                          <w:smallCaps/>
                          <w:sz w:val="16"/>
                          <w:szCs w:val="16"/>
                        </w:rPr>
                        <w:t>Planea</w:t>
                      </w:r>
                      <w:r w:rsidR="002D53D0">
                        <w:rPr>
                          <w:rFonts w:cs="Arial"/>
                          <w:bCs/>
                          <w:sz w:val="16"/>
                          <w:szCs w:val="16"/>
                        </w:rPr>
                        <w:t xml:space="preserve">-ELSEN (2015) y </w:t>
                      </w:r>
                      <w:r w:rsidR="00AC6101">
                        <w:rPr>
                          <w:rFonts w:cs="Arial"/>
                          <w:bCs/>
                          <w:smallCaps/>
                          <w:sz w:val="16"/>
                          <w:szCs w:val="16"/>
                        </w:rPr>
                        <w:t>Planea</w:t>
                      </w:r>
                      <w:r w:rsidR="00E234A5">
                        <w:rPr>
                          <w:rFonts w:cs="Arial"/>
                          <w:bCs/>
                          <w:sz w:val="16"/>
                          <w:szCs w:val="16"/>
                        </w:rPr>
                        <w:t>-SEN</w:t>
                      </w:r>
                      <w:r w:rsidR="0089480D">
                        <w:rPr>
                          <w:rFonts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67599F">
                        <w:rPr>
                          <w:rFonts w:cs="Arial"/>
                          <w:bCs/>
                          <w:sz w:val="16"/>
                          <w:szCs w:val="16"/>
                        </w:rPr>
                        <w:t>(</w:t>
                      </w:r>
                      <w:r w:rsidRPr="00C61D90">
                        <w:rPr>
                          <w:rFonts w:cs="Arial"/>
                          <w:bCs/>
                          <w:sz w:val="16"/>
                          <w:szCs w:val="16"/>
                        </w:rPr>
                        <w:t>201</w:t>
                      </w:r>
                      <w:r w:rsidR="0089480D">
                        <w:rPr>
                          <w:rFonts w:cs="Arial"/>
                          <w:bCs/>
                          <w:sz w:val="16"/>
                          <w:szCs w:val="16"/>
                        </w:rPr>
                        <w:t>8</w:t>
                      </w:r>
                      <w:r w:rsidRPr="00C61D90">
                        <w:rPr>
                          <w:rFonts w:cs="Arial"/>
                          <w:bCs/>
                          <w:sz w:val="16"/>
                          <w:szCs w:val="16"/>
                        </w:rPr>
                        <w:t>)</w:t>
                      </w:r>
                      <w:r w:rsidR="002D53D0" w:rsidRPr="002D53D0">
                        <w:rPr>
                          <w:rFonts w:cs="Arial"/>
                          <w:bCs/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  <w:gridCol w:w="1134"/>
                        <w:gridCol w:w="1139"/>
                        <w:gridCol w:w="1139"/>
                        <w:gridCol w:w="1139"/>
                      </w:tblGrid>
                      <w:tr w:rsidR="00FE07AA" w:rsidRPr="00EB0118" w:rsidTr="00FE07AA">
                        <w:trPr>
                          <w:trHeight w:val="278"/>
                        </w:trPr>
                        <w:tc>
                          <w:tcPr>
                            <w:tcW w:w="2235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Dominios</w:t>
                            </w:r>
                          </w:p>
                        </w:tc>
                        <w:tc>
                          <w:tcPr>
                            <w:tcW w:w="2273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FE07AA" w:rsidRPr="005A6F0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2278" w:type="dxa"/>
                            <w:gridSpan w:val="2"/>
                            <w:vAlign w:val="center"/>
                          </w:tcPr>
                          <w:p w:rsidR="00FE07AA" w:rsidRPr="005A6F0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c>
                      </w:tr>
                      <w:tr w:rsidR="00FE07AA" w:rsidRPr="00EB0118" w:rsidTr="00FE07AA">
                        <w:trPr>
                          <w:trHeight w:val="278"/>
                        </w:trPr>
                        <w:tc>
                          <w:tcPr>
                            <w:tcW w:w="2235" w:type="dxa"/>
                            <w:vMerge/>
                            <w:shd w:val="clear" w:color="auto" w:fill="auto"/>
                          </w:tcPr>
                          <w:p w:rsidR="00FE07AA" w:rsidRPr="009D3214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FE07AA" w:rsidRPr="005A6F0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FE07AA" w:rsidRP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ee</w:t>
                            </w:r>
                            <w:proofErr w:type="spellEnd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Pr="005A6F0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P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ee</w:t>
                            </w:r>
                            <w:proofErr w:type="spellEnd"/>
                            <w:r w:rsidRPr="005A6F0A">
                              <w:rPr>
                                <w:rFonts w:cs="Arial"/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FE07AA" w:rsidRPr="00EB0118" w:rsidTr="00FE07AA">
                        <w:tc>
                          <w:tcPr>
                            <w:tcW w:w="2235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 xml:space="preserve">Lenguaje y </w:t>
                            </w: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C</w:t>
                            </w: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omunicación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49.5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(0.6)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49.1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(0.6)</w:t>
                            </w:r>
                          </w:p>
                        </w:tc>
                      </w:tr>
                      <w:tr w:rsidR="00FE07AA" w:rsidRPr="00EB0118" w:rsidTr="00FE07AA">
                        <w:tc>
                          <w:tcPr>
                            <w:tcW w:w="2235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EB0118"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Matemáticas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60.5</w:t>
                            </w:r>
                          </w:p>
                        </w:tc>
                        <w:tc>
                          <w:tcPr>
                            <w:tcW w:w="1139" w:type="dxa"/>
                            <w:shd w:val="clear" w:color="auto" w:fill="auto"/>
                          </w:tcPr>
                          <w:p w:rsidR="00FE07AA" w:rsidRPr="00EB0118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(0.5)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59.1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:rsidR="00FE07AA" w:rsidRDefault="00FE07AA" w:rsidP="00FE07AA">
                            <w:pPr>
                              <w:spacing w:after="40"/>
                              <w:ind w:right="108"/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  <w:t>(0.5)</w:t>
                            </w:r>
                          </w:p>
                        </w:tc>
                      </w:tr>
                    </w:tbl>
                    <w:p w:rsidR="00C11806" w:rsidRDefault="00C11806" w:rsidP="00BD733B">
                      <w:pPr>
                        <w:spacing w:after="40"/>
                        <w:ind w:right="108"/>
                        <w:jc w:val="both"/>
                        <w:rPr>
                          <w:rFonts w:cs="Arial"/>
                          <w:bCs/>
                          <w:sz w:val="16"/>
                          <w:szCs w:val="16"/>
                        </w:rPr>
                      </w:pPr>
                    </w:p>
                    <w:p w:rsidR="009360B9" w:rsidRPr="009360B9" w:rsidRDefault="009360B9" w:rsidP="009360B9">
                      <w:pPr>
                        <w:rPr>
                          <w:vanish/>
                        </w:rPr>
                      </w:pPr>
                    </w:p>
                    <w:p w:rsidR="002D53D0" w:rsidRPr="002D53D0" w:rsidRDefault="00F441FD" w:rsidP="002D53D0">
                      <w:pPr>
                        <w:tabs>
                          <w:tab w:val="left" w:pos="540"/>
                        </w:tabs>
                        <w:spacing w:after="60"/>
                        <w:ind w:right="108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5339D0">
                        <w:rPr>
                          <w:rFonts w:ascii="Arial (W1)" w:hAnsi="Arial (W1)" w:cs="Arial"/>
                          <w:sz w:val="12"/>
                          <w:szCs w:val="12"/>
                          <w:vertAlign w:val="superscript"/>
                        </w:rPr>
                        <w:t>1</w:t>
                      </w:r>
                      <w:r w:rsidR="002D53D0">
                        <w:rPr>
                          <w:rFonts w:ascii="Arial (W1)" w:hAnsi="Arial (W1)" w:cs="Arial"/>
                          <w:sz w:val="12"/>
                          <w:szCs w:val="12"/>
                          <w:vertAlign w:val="superscript"/>
                        </w:rPr>
                        <w:t xml:space="preserve"> </w:t>
                      </w:r>
                      <w:proofErr w:type="gramStart"/>
                      <w:r w:rsidR="002D53D0">
                        <w:rPr>
                          <w:rFonts w:ascii="Arial (W1)" w:hAnsi="Arial (W1)" w:cs="Arial"/>
                          <w:sz w:val="12"/>
                          <w:szCs w:val="12"/>
                        </w:rPr>
                        <w:t>Los</w:t>
                      </w:r>
                      <w:proofErr w:type="gramEnd"/>
                      <w:r w:rsidR="002D53D0">
                        <w:rPr>
                          <w:rFonts w:ascii="Arial (W1)" w:hAnsi="Arial (W1)" w:cs="Arial"/>
                          <w:sz w:val="12"/>
                          <w:szCs w:val="12"/>
                        </w:rPr>
                        <w:t xml:space="preserve"> </w:t>
                      </w:r>
                      <w:r w:rsidR="002D53D0">
                        <w:rPr>
                          <w:rFonts w:cs="Arial"/>
                          <w:sz w:val="12"/>
                          <w:szCs w:val="12"/>
                        </w:rPr>
                        <w:t>resultados</w:t>
                      </w:r>
                      <w:r w:rsidR="00FE07AA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5E3C17">
                        <w:rPr>
                          <w:rFonts w:cs="Arial"/>
                          <w:sz w:val="12"/>
                          <w:szCs w:val="12"/>
                        </w:rPr>
                        <w:t>de los dos</w:t>
                      </w:r>
                      <w:r w:rsidR="00FE07AA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006BEA">
                        <w:rPr>
                          <w:rFonts w:cs="Arial"/>
                          <w:sz w:val="12"/>
                          <w:szCs w:val="12"/>
                        </w:rPr>
                        <w:t>dominios no</w:t>
                      </w:r>
                      <w:r w:rsidR="002D53D0">
                        <w:rPr>
                          <w:rFonts w:cs="Arial"/>
                          <w:sz w:val="12"/>
                          <w:szCs w:val="12"/>
                        </w:rPr>
                        <w:t xml:space="preserve"> son significativamente diferentes entre ambas aplicaciones, utiliza</w:t>
                      </w:r>
                      <w:r w:rsidR="004957DB">
                        <w:rPr>
                          <w:rFonts w:cs="Arial"/>
                          <w:sz w:val="12"/>
                          <w:szCs w:val="12"/>
                        </w:rPr>
                        <w:t>n</w:t>
                      </w:r>
                      <w:r w:rsidR="002D53D0">
                        <w:rPr>
                          <w:rFonts w:cs="Arial"/>
                          <w:sz w:val="12"/>
                          <w:szCs w:val="12"/>
                        </w:rPr>
                        <w:t>do la prueba t a un nivel de confianza de 95%.</w:t>
                      </w:r>
                    </w:p>
                    <w:p w:rsidR="002D53D0" w:rsidRPr="00AC6101" w:rsidRDefault="005E3C17" w:rsidP="00F441FD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  <w:proofErr w:type="spellStart"/>
                      <w:r w:rsidRPr="00A726DF">
                        <w:rPr>
                          <w:rFonts w:ascii="Arial (W1)" w:hAnsi="Arial (W1)" w:cs="Arial"/>
                          <w:sz w:val="12"/>
                          <w:szCs w:val="12"/>
                        </w:rPr>
                        <w:t>ee.</w:t>
                      </w:r>
                      <w:proofErr w:type="spellEnd"/>
                      <w:r w:rsidR="00F441FD" w:rsidRPr="005339D0">
                        <w:rPr>
                          <w:rFonts w:cs="Arial"/>
                          <w:sz w:val="12"/>
                          <w:szCs w:val="12"/>
                        </w:rPr>
                        <w:t xml:space="preserve"> Error estándar.</w:t>
                      </w:r>
                    </w:p>
                    <w:p w:rsidR="002F4360" w:rsidRPr="00984463" w:rsidRDefault="00A31489" w:rsidP="002F4360">
                      <w:pPr>
                        <w:tabs>
                          <w:tab w:val="left" w:pos="540"/>
                        </w:tabs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C6101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 w:rsidR="00CD0E48" w:rsidRPr="00847ADC">
                        <w:rPr>
                          <w:rFonts w:cs="Arial"/>
                          <w:sz w:val="12"/>
                          <w:szCs w:val="12"/>
                        </w:rPr>
                        <w:t xml:space="preserve">: </w:t>
                      </w:r>
                      <w:r w:rsidR="00B56C18" w:rsidRPr="003F43E3">
                        <w:rPr>
                          <w:rFonts w:cs="Arial"/>
                          <w:iCs/>
                          <w:sz w:val="12"/>
                          <w:szCs w:val="12"/>
                        </w:rPr>
                        <w:t xml:space="preserve">Plan Nacional para la Evaluación de los Aprendizajes </w:t>
                      </w:r>
                      <w:r w:rsidRPr="00AC6101">
                        <w:rPr>
                          <w:rFonts w:cs="Arial"/>
                          <w:sz w:val="12"/>
                          <w:szCs w:val="12"/>
                        </w:rPr>
                        <w:t>(</w:t>
                      </w:r>
                      <w:r w:rsidR="00B56C18" w:rsidRPr="00AC6101">
                        <w:rPr>
                          <w:rFonts w:cs="Arial"/>
                          <w:smallCaps/>
                          <w:sz w:val="12"/>
                          <w:szCs w:val="12"/>
                        </w:rPr>
                        <w:t>Planea</w:t>
                      </w:r>
                      <w:r w:rsidRPr="00847ADC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424990" w:rsidRPr="00663942">
                        <w:rPr>
                          <w:rFonts w:cs="Arial"/>
                          <w:sz w:val="12"/>
                          <w:szCs w:val="12"/>
                        </w:rPr>
                        <w:t xml:space="preserve"> en su modalidad </w:t>
                      </w:r>
                      <w:r w:rsidR="00424990" w:rsidRPr="003F43E3">
                        <w:rPr>
                          <w:rFonts w:cs="Arial"/>
                          <w:sz w:val="12"/>
                          <w:szCs w:val="12"/>
                        </w:rPr>
                        <w:t xml:space="preserve">Evaluación del Logro referida al Sistema Educativo Nacional </w:t>
                      </w:r>
                      <w:r w:rsidR="00424990" w:rsidRPr="00AC6101">
                        <w:rPr>
                          <w:rFonts w:cs="Arial"/>
                          <w:sz w:val="12"/>
                          <w:szCs w:val="12"/>
                        </w:rPr>
                        <w:t xml:space="preserve">(ELSEN) </w:t>
                      </w:r>
                      <w:r w:rsidR="002D53D0">
                        <w:rPr>
                          <w:rFonts w:cs="Arial"/>
                          <w:sz w:val="12"/>
                          <w:szCs w:val="12"/>
                        </w:rPr>
                        <w:t xml:space="preserve">y al Sistema de Educación Obligatoria (SEN) </w:t>
                      </w:r>
                      <w:r w:rsidRPr="00AC6101">
                        <w:rPr>
                          <w:rFonts w:cs="Arial"/>
                          <w:sz w:val="12"/>
                          <w:szCs w:val="12"/>
                        </w:rPr>
                        <w:t xml:space="preserve">para los alumnos </w:t>
                      </w:r>
                      <w:r w:rsidR="0089480D">
                        <w:rPr>
                          <w:rFonts w:cs="Arial"/>
                          <w:sz w:val="12"/>
                          <w:szCs w:val="12"/>
                        </w:rPr>
                        <w:t>de 6° de primaria</w:t>
                      </w:r>
                      <w:r w:rsidR="000518F6" w:rsidRPr="00847ADC">
                        <w:rPr>
                          <w:rFonts w:cs="Arial"/>
                          <w:sz w:val="12"/>
                          <w:szCs w:val="12"/>
                        </w:rPr>
                        <w:t xml:space="preserve"> (bases de datos)</w:t>
                      </w:r>
                      <w:r w:rsidR="00E234A5" w:rsidRPr="00663942">
                        <w:rPr>
                          <w:rFonts w:cs="Arial"/>
                          <w:sz w:val="12"/>
                          <w:szCs w:val="12"/>
                        </w:rPr>
                        <w:t>, INEE (</w:t>
                      </w:r>
                      <w:r w:rsidR="002D53D0">
                        <w:rPr>
                          <w:rFonts w:cs="Arial"/>
                          <w:sz w:val="12"/>
                          <w:szCs w:val="12"/>
                        </w:rPr>
                        <w:t xml:space="preserve">2015 y </w:t>
                      </w:r>
                      <w:r w:rsidR="0089480D">
                        <w:rPr>
                          <w:rFonts w:cs="Arial"/>
                          <w:sz w:val="12"/>
                          <w:szCs w:val="12"/>
                        </w:rPr>
                        <w:t>2018</w:t>
                      </w:r>
                      <w:r w:rsidR="00B56C18" w:rsidRPr="00984463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Pr="00984463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F4360" w:rsidSect="00BB24B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39C" w:rsidRDefault="0067539C" w:rsidP="005461E1">
      <w:r>
        <w:separator/>
      </w:r>
    </w:p>
  </w:endnote>
  <w:endnote w:type="continuationSeparator" w:id="0">
    <w:p w:rsidR="0067539C" w:rsidRDefault="0067539C" w:rsidP="0054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39C" w:rsidRDefault="0067539C" w:rsidP="005461E1">
      <w:r>
        <w:separator/>
      </w:r>
    </w:p>
  </w:footnote>
  <w:footnote w:type="continuationSeparator" w:id="0">
    <w:p w:rsidR="0067539C" w:rsidRDefault="0067539C" w:rsidP="00546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61B3"/>
    <w:multiLevelType w:val="hybridMultilevel"/>
    <w:tmpl w:val="2F2635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3937D7"/>
    <w:multiLevelType w:val="hybridMultilevel"/>
    <w:tmpl w:val="118C6886"/>
    <w:lvl w:ilvl="0" w:tplc="E1EEF54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E5F5C"/>
    <w:multiLevelType w:val="hybridMultilevel"/>
    <w:tmpl w:val="3C96985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F5224"/>
    <w:multiLevelType w:val="hybridMultilevel"/>
    <w:tmpl w:val="CD20DCD6"/>
    <w:lvl w:ilvl="0" w:tplc="6102E8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21D4"/>
    <w:rsid w:val="00002290"/>
    <w:rsid w:val="00003470"/>
    <w:rsid w:val="000035A4"/>
    <w:rsid w:val="000057C3"/>
    <w:rsid w:val="000058C7"/>
    <w:rsid w:val="00006BEA"/>
    <w:rsid w:val="00011424"/>
    <w:rsid w:val="00012D4B"/>
    <w:rsid w:val="000143AB"/>
    <w:rsid w:val="00014461"/>
    <w:rsid w:val="000145F5"/>
    <w:rsid w:val="0002056B"/>
    <w:rsid w:val="0002276C"/>
    <w:rsid w:val="00023927"/>
    <w:rsid w:val="00023DCD"/>
    <w:rsid w:val="00026151"/>
    <w:rsid w:val="0002657C"/>
    <w:rsid w:val="000307AC"/>
    <w:rsid w:val="00036C2B"/>
    <w:rsid w:val="00036E3A"/>
    <w:rsid w:val="00036F28"/>
    <w:rsid w:val="0004188B"/>
    <w:rsid w:val="00041E7B"/>
    <w:rsid w:val="000518F6"/>
    <w:rsid w:val="00053162"/>
    <w:rsid w:val="00054B9B"/>
    <w:rsid w:val="00055366"/>
    <w:rsid w:val="00055B84"/>
    <w:rsid w:val="00057662"/>
    <w:rsid w:val="000649D4"/>
    <w:rsid w:val="00064AEE"/>
    <w:rsid w:val="00064BE9"/>
    <w:rsid w:val="00065058"/>
    <w:rsid w:val="000669DD"/>
    <w:rsid w:val="00073261"/>
    <w:rsid w:val="00073593"/>
    <w:rsid w:val="00074802"/>
    <w:rsid w:val="00075632"/>
    <w:rsid w:val="00076D0B"/>
    <w:rsid w:val="00077050"/>
    <w:rsid w:val="00081754"/>
    <w:rsid w:val="0008762F"/>
    <w:rsid w:val="00092499"/>
    <w:rsid w:val="00094913"/>
    <w:rsid w:val="00097C74"/>
    <w:rsid w:val="000A15A0"/>
    <w:rsid w:val="000A457F"/>
    <w:rsid w:val="000B05D9"/>
    <w:rsid w:val="000B0B9F"/>
    <w:rsid w:val="000B1834"/>
    <w:rsid w:val="000C115E"/>
    <w:rsid w:val="000C6A7A"/>
    <w:rsid w:val="000C6D22"/>
    <w:rsid w:val="000D1832"/>
    <w:rsid w:val="000D1F92"/>
    <w:rsid w:val="000D248D"/>
    <w:rsid w:val="000E028B"/>
    <w:rsid w:val="000E13E6"/>
    <w:rsid w:val="000E1471"/>
    <w:rsid w:val="000E16A3"/>
    <w:rsid w:val="000E40C8"/>
    <w:rsid w:val="000E5157"/>
    <w:rsid w:val="000F012B"/>
    <w:rsid w:val="000F1174"/>
    <w:rsid w:val="000F2E4C"/>
    <w:rsid w:val="000F4A33"/>
    <w:rsid w:val="000F6388"/>
    <w:rsid w:val="000F7966"/>
    <w:rsid w:val="00101940"/>
    <w:rsid w:val="00103925"/>
    <w:rsid w:val="00105252"/>
    <w:rsid w:val="00105277"/>
    <w:rsid w:val="0010762F"/>
    <w:rsid w:val="00107CD1"/>
    <w:rsid w:val="00111D74"/>
    <w:rsid w:val="00111ED8"/>
    <w:rsid w:val="00112B94"/>
    <w:rsid w:val="00114219"/>
    <w:rsid w:val="00114EBC"/>
    <w:rsid w:val="001152C8"/>
    <w:rsid w:val="00117C2E"/>
    <w:rsid w:val="001201AC"/>
    <w:rsid w:val="0012097D"/>
    <w:rsid w:val="001209FF"/>
    <w:rsid w:val="00120C47"/>
    <w:rsid w:val="00122201"/>
    <w:rsid w:val="00126818"/>
    <w:rsid w:val="00130A09"/>
    <w:rsid w:val="0013140C"/>
    <w:rsid w:val="00135FD5"/>
    <w:rsid w:val="00140316"/>
    <w:rsid w:val="00141EBE"/>
    <w:rsid w:val="00153762"/>
    <w:rsid w:val="001537C7"/>
    <w:rsid w:val="00154497"/>
    <w:rsid w:val="00155B3A"/>
    <w:rsid w:val="00156177"/>
    <w:rsid w:val="001614E8"/>
    <w:rsid w:val="0016286B"/>
    <w:rsid w:val="00162B11"/>
    <w:rsid w:val="0016477B"/>
    <w:rsid w:val="001669E9"/>
    <w:rsid w:val="00167428"/>
    <w:rsid w:val="00177857"/>
    <w:rsid w:val="0018025B"/>
    <w:rsid w:val="001804A4"/>
    <w:rsid w:val="001804B2"/>
    <w:rsid w:val="0018090A"/>
    <w:rsid w:val="00181CCC"/>
    <w:rsid w:val="00182658"/>
    <w:rsid w:val="0018742C"/>
    <w:rsid w:val="00190E28"/>
    <w:rsid w:val="001914B3"/>
    <w:rsid w:val="0019718B"/>
    <w:rsid w:val="00197C00"/>
    <w:rsid w:val="001A0B17"/>
    <w:rsid w:val="001A2894"/>
    <w:rsid w:val="001A3C15"/>
    <w:rsid w:val="001A7749"/>
    <w:rsid w:val="001B5432"/>
    <w:rsid w:val="001B6DDD"/>
    <w:rsid w:val="001B7C54"/>
    <w:rsid w:val="001C1F4F"/>
    <w:rsid w:val="001C31DD"/>
    <w:rsid w:val="001C3481"/>
    <w:rsid w:val="001C61E1"/>
    <w:rsid w:val="001C6276"/>
    <w:rsid w:val="001D2E66"/>
    <w:rsid w:val="001D6519"/>
    <w:rsid w:val="001E41A7"/>
    <w:rsid w:val="001E4935"/>
    <w:rsid w:val="001E5A76"/>
    <w:rsid w:val="001E6F58"/>
    <w:rsid w:val="001F0927"/>
    <w:rsid w:val="001F147C"/>
    <w:rsid w:val="001F5ACD"/>
    <w:rsid w:val="001F7FCD"/>
    <w:rsid w:val="00200D7F"/>
    <w:rsid w:val="00200E66"/>
    <w:rsid w:val="002022AE"/>
    <w:rsid w:val="00204596"/>
    <w:rsid w:val="00206401"/>
    <w:rsid w:val="002101F0"/>
    <w:rsid w:val="0021124C"/>
    <w:rsid w:val="00212B4B"/>
    <w:rsid w:val="00214059"/>
    <w:rsid w:val="00214FA2"/>
    <w:rsid w:val="00214FA8"/>
    <w:rsid w:val="00214FB5"/>
    <w:rsid w:val="002158BF"/>
    <w:rsid w:val="00215B9B"/>
    <w:rsid w:val="00220424"/>
    <w:rsid w:val="00221644"/>
    <w:rsid w:val="00222B2D"/>
    <w:rsid w:val="00224633"/>
    <w:rsid w:val="00224E9D"/>
    <w:rsid w:val="00225B6A"/>
    <w:rsid w:val="00231B3F"/>
    <w:rsid w:val="00232A8D"/>
    <w:rsid w:val="00236F80"/>
    <w:rsid w:val="0023752E"/>
    <w:rsid w:val="00240D7B"/>
    <w:rsid w:val="00240D80"/>
    <w:rsid w:val="00242743"/>
    <w:rsid w:val="00243E8E"/>
    <w:rsid w:val="00244B88"/>
    <w:rsid w:val="0024592D"/>
    <w:rsid w:val="00247F5B"/>
    <w:rsid w:val="002537A5"/>
    <w:rsid w:val="0025440A"/>
    <w:rsid w:val="002560A6"/>
    <w:rsid w:val="00256A2D"/>
    <w:rsid w:val="002621DF"/>
    <w:rsid w:val="00262F20"/>
    <w:rsid w:val="00262F51"/>
    <w:rsid w:val="0026351E"/>
    <w:rsid w:val="002636D3"/>
    <w:rsid w:val="00263C9D"/>
    <w:rsid w:val="00264BBE"/>
    <w:rsid w:val="00265ECE"/>
    <w:rsid w:val="00266385"/>
    <w:rsid w:val="00267511"/>
    <w:rsid w:val="00276A36"/>
    <w:rsid w:val="0027720D"/>
    <w:rsid w:val="00282389"/>
    <w:rsid w:val="00283D93"/>
    <w:rsid w:val="00285E97"/>
    <w:rsid w:val="00287958"/>
    <w:rsid w:val="0029564B"/>
    <w:rsid w:val="0029652B"/>
    <w:rsid w:val="002A0351"/>
    <w:rsid w:val="002A2DAD"/>
    <w:rsid w:val="002A2F2A"/>
    <w:rsid w:val="002A44DE"/>
    <w:rsid w:val="002A6428"/>
    <w:rsid w:val="002B05CA"/>
    <w:rsid w:val="002B38E4"/>
    <w:rsid w:val="002B3D08"/>
    <w:rsid w:val="002B4B7F"/>
    <w:rsid w:val="002B5CA2"/>
    <w:rsid w:val="002B6562"/>
    <w:rsid w:val="002C6E2D"/>
    <w:rsid w:val="002D1672"/>
    <w:rsid w:val="002D2535"/>
    <w:rsid w:val="002D53D0"/>
    <w:rsid w:val="002D5D25"/>
    <w:rsid w:val="002D74DB"/>
    <w:rsid w:val="002E0870"/>
    <w:rsid w:val="002E0BBF"/>
    <w:rsid w:val="002E12F8"/>
    <w:rsid w:val="002E24CB"/>
    <w:rsid w:val="002E637E"/>
    <w:rsid w:val="002E744C"/>
    <w:rsid w:val="002E75FD"/>
    <w:rsid w:val="002F4360"/>
    <w:rsid w:val="00301DC5"/>
    <w:rsid w:val="00302C36"/>
    <w:rsid w:val="0030417E"/>
    <w:rsid w:val="00304669"/>
    <w:rsid w:val="00304958"/>
    <w:rsid w:val="00305037"/>
    <w:rsid w:val="003059D8"/>
    <w:rsid w:val="00306108"/>
    <w:rsid w:val="0030686C"/>
    <w:rsid w:val="00306CA1"/>
    <w:rsid w:val="00307E52"/>
    <w:rsid w:val="003103FB"/>
    <w:rsid w:val="00314464"/>
    <w:rsid w:val="00314874"/>
    <w:rsid w:val="00317CF7"/>
    <w:rsid w:val="00322E6D"/>
    <w:rsid w:val="00324C25"/>
    <w:rsid w:val="00324C32"/>
    <w:rsid w:val="00325532"/>
    <w:rsid w:val="00325595"/>
    <w:rsid w:val="00326149"/>
    <w:rsid w:val="003278C0"/>
    <w:rsid w:val="003309F0"/>
    <w:rsid w:val="003312CE"/>
    <w:rsid w:val="00333C47"/>
    <w:rsid w:val="0033666D"/>
    <w:rsid w:val="00344BB5"/>
    <w:rsid w:val="0034513F"/>
    <w:rsid w:val="003452EF"/>
    <w:rsid w:val="003459D1"/>
    <w:rsid w:val="00345C66"/>
    <w:rsid w:val="00351074"/>
    <w:rsid w:val="003538C6"/>
    <w:rsid w:val="00361A2A"/>
    <w:rsid w:val="00362CD7"/>
    <w:rsid w:val="003630E8"/>
    <w:rsid w:val="00365DDC"/>
    <w:rsid w:val="0036793D"/>
    <w:rsid w:val="0037564C"/>
    <w:rsid w:val="0037648F"/>
    <w:rsid w:val="00381629"/>
    <w:rsid w:val="00381642"/>
    <w:rsid w:val="00382184"/>
    <w:rsid w:val="003848E1"/>
    <w:rsid w:val="00387B1E"/>
    <w:rsid w:val="0039071E"/>
    <w:rsid w:val="00394F99"/>
    <w:rsid w:val="00396CF6"/>
    <w:rsid w:val="003A23CE"/>
    <w:rsid w:val="003A547A"/>
    <w:rsid w:val="003B27CD"/>
    <w:rsid w:val="003B29F3"/>
    <w:rsid w:val="003B2ED2"/>
    <w:rsid w:val="003B3690"/>
    <w:rsid w:val="003B5E2B"/>
    <w:rsid w:val="003B6B3B"/>
    <w:rsid w:val="003B7863"/>
    <w:rsid w:val="003B7AF7"/>
    <w:rsid w:val="003C005F"/>
    <w:rsid w:val="003C1F5C"/>
    <w:rsid w:val="003C2E7C"/>
    <w:rsid w:val="003C5526"/>
    <w:rsid w:val="003C590C"/>
    <w:rsid w:val="003C625F"/>
    <w:rsid w:val="003C70C9"/>
    <w:rsid w:val="003C7372"/>
    <w:rsid w:val="003C7DFE"/>
    <w:rsid w:val="003D0575"/>
    <w:rsid w:val="003D260F"/>
    <w:rsid w:val="003D4055"/>
    <w:rsid w:val="003D5494"/>
    <w:rsid w:val="003D767C"/>
    <w:rsid w:val="003E2CE9"/>
    <w:rsid w:val="003E2D5E"/>
    <w:rsid w:val="003E3970"/>
    <w:rsid w:val="003F35E4"/>
    <w:rsid w:val="003F43E3"/>
    <w:rsid w:val="00404E82"/>
    <w:rsid w:val="00405485"/>
    <w:rsid w:val="00406914"/>
    <w:rsid w:val="00407C90"/>
    <w:rsid w:val="004112C6"/>
    <w:rsid w:val="004163F8"/>
    <w:rsid w:val="00422B88"/>
    <w:rsid w:val="00422E54"/>
    <w:rsid w:val="00423D59"/>
    <w:rsid w:val="00424990"/>
    <w:rsid w:val="00424B36"/>
    <w:rsid w:val="00424F1A"/>
    <w:rsid w:val="004271BD"/>
    <w:rsid w:val="0043003E"/>
    <w:rsid w:val="0043425A"/>
    <w:rsid w:val="004343E1"/>
    <w:rsid w:val="004347F6"/>
    <w:rsid w:val="00434F77"/>
    <w:rsid w:val="0044047C"/>
    <w:rsid w:val="0044265D"/>
    <w:rsid w:val="00446FDA"/>
    <w:rsid w:val="004536AF"/>
    <w:rsid w:val="004615FC"/>
    <w:rsid w:val="00463EBD"/>
    <w:rsid w:val="00464B2B"/>
    <w:rsid w:val="00467D4C"/>
    <w:rsid w:val="004706BD"/>
    <w:rsid w:val="00472927"/>
    <w:rsid w:val="00472A39"/>
    <w:rsid w:val="00472EBF"/>
    <w:rsid w:val="004731FB"/>
    <w:rsid w:val="00481F3B"/>
    <w:rsid w:val="00486C6F"/>
    <w:rsid w:val="00490598"/>
    <w:rsid w:val="00490A51"/>
    <w:rsid w:val="00492E63"/>
    <w:rsid w:val="004939AE"/>
    <w:rsid w:val="0049437E"/>
    <w:rsid w:val="004957DB"/>
    <w:rsid w:val="00496AFB"/>
    <w:rsid w:val="00496FCD"/>
    <w:rsid w:val="00496FEE"/>
    <w:rsid w:val="004A087B"/>
    <w:rsid w:val="004A0A3A"/>
    <w:rsid w:val="004A1269"/>
    <w:rsid w:val="004A177C"/>
    <w:rsid w:val="004A2A9A"/>
    <w:rsid w:val="004A3EFB"/>
    <w:rsid w:val="004A565B"/>
    <w:rsid w:val="004A7508"/>
    <w:rsid w:val="004B378D"/>
    <w:rsid w:val="004B4739"/>
    <w:rsid w:val="004B7C2C"/>
    <w:rsid w:val="004C68EE"/>
    <w:rsid w:val="004D12FB"/>
    <w:rsid w:val="004D2E8F"/>
    <w:rsid w:val="004D586D"/>
    <w:rsid w:val="004D7069"/>
    <w:rsid w:val="004E14C4"/>
    <w:rsid w:val="004E447D"/>
    <w:rsid w:val="004E46F5"/>
    <w:rsid w:val="004E5EE4"/>
    <w:rsid w:val="004E6902"/>
    <w:rsid w:val="004E73E8"/>
    <w:rsid w:val="004F0BE6"/>
    <w:rsid w:val="004F26DE"/>
    <w:rsid w:val="004F3CD0"/>
    <w:rsid w:val="004F44C2"/>
    <w:rsid w:val="004F4A86"/>
    <w:rsid w:val="004F5B6B"/>
    <w:rsid w:val="004F5D2C"/>
    <w:rsid w:val="004F637A"/>
    <w:rsid w:val="00500083"/>
    <w:rsid w:val="00501C50"/>
    <w:rsid w:val="00501E35"/>
    <w:rsid w:val="00511576"/>
    <w:rsid w:val="00512CB2"/>
    <w:rsid w:val="0051337F"/>
    <w:rsid w:val="0051368E"/>
    <w:rsid w:val="0051578D"/>
    <w:rsid w:val="005203E9"/>
    <w:rsid w:val="005209EB"/>
    <w:rsid w:val="005238D4"/>
    <w:rsid w:val="00524815"/>
    <w:rsid w:val="00526556"/>
    <w:rsid w:val="0052752D"/>
    <w:rsid w:val="005304F6"/>
    <w:rsid w:val="005339D0"/>
    <w:rsid w:val="00533D52"/>
    <w:rsid w:val="0053421E"/>
    <w:rsid w:val="0054267A"/>
    <w:rsid w:val="00542E4B"/>
    <w:rsid w:val="005460D7"/>
    <w:rsid w:val="005461E1"/>
    <w:rsid w:val="00546903"/>
    <w:rsid w:val="005473CA"/>
    <w:rsid w:val="00551B9F"/>
    <w:rsid w:val="00552DCD"/>
    <w:rsid w:val="00554777"/>
    <w:rsid w:val="00554A6D"/>
    <w:rsid w:val="005576F0"/>
    <w:rsid w:val="00564404"/>
    <w:rsid w:val="00564E37"/>
    <w:rsid w:val="00570C86"/>
    <w:rsid w:val="0057207F"/>
    <w:rsid w:val="005751D7"/>
    <w:rsid w:val="005773D4"/>
    <w:rsid w:val="00582046"/>
    <w:rsid w:val="00584538"/>
    <w:rsid w:val="0058615C"/>
    <w:rsid w:val="005868D6"/>
    <w:rsid w:val="00590055"/>
    <w:rsid w:val="00592DEF"/>
    <w:rsid w:val="005937F5"/>
    <w:rsid w:val="00594370"/>
    <w:rsid w:val="005A19DD"/>
    <w:rsid w:val="005A672E"/>
    <w:rsid w:val="005A6F0A"/>
    <w:rsid w:val="005A748B"/>
    <w:rsid w:val="005B1C22"/>
    <w:rsid w:val="005B4CA2"/>
    <w:rsid w:val="005B79E0"/>
    <w:rsid w:val="005C16BE"/>
    <w:rsid w:val="005C5AC4"/>
    <w:rsid w:val="005C7158"/>
    <w:rsid w:val="005C7EEA"/>
    <w:rsid w:val="005D161E"/>
    <w:rsid w:val="005D24E9"/>
    <w:rsid w:val="005D70FC"/>
    <w:rsid w:val="005D7147"/>
    <w:rsid w:val="005D7BC7"/>
    <w:rsid w:val="005E084E"/>
    <w:rsid w:val="005E133F"/>
    <w:rsid w:val="005E3C17"/>
    <w:rsid w:val="005E53F6"/>
    <w:rsid w:val="005E618F"/>
    <w:rsid w:val="005E6A46"/>
    <w:rsid w:val="005E7FFC"/>
    <w:rsid w:val="005F1368"/>
    <w:rsid w:val="005F38C8"/>
    <w:rsid w:val="00600B3A"/>
    <w:rsid w:val="00601EFD"/>
    <w:rsid w:val="006029BF"/>
    <w:rsid w:val="00603E80"/>
    <w:rsid w:val="00605818"/>
    <w:rsid w:val="00610FD9"/>
    <w:rsid w:val="00611A61"/>
    <w:rsid w:val="00611DBA"/>
    <w:rsid w:val="0061461F"/>
    <w:rsid w:val="006149D7"/>
    <w:rsid w:val="00621D2C"/>
    <w:rsid w:val="006222EE"/>
    <w:rsid w:val="00626ED9"/>
    <w:rsid w:val="0063170E"/>
    <w:rsid w:val="00633DE0"/>
    <w:rsid w:val="00634053"/>
    <w:rsid w:val="006352BD"/>
    <w:rsid w:val="00640DA3"/>
    <w:rsid w:val="00641C77"/>
    <w:rsid w:val="006428DE"/>
    <w:rsid w:val="006433C0"/>
    <w:rsid w:val="00647DDB"/>
    <w:rsid w:val="00647F09"/>
    <w:rsid w:val="00650326"/>
    <w:rsid w:val="00651163"/>
    <w:rsid w:val="006545E8"/>
    <w:rsid w:val="00654971"/>
    <w:rsid w:val="0065722F"/>
    <w:rsid w:val="00663751"/>
    <w:rsid w:val="00663942"/>
    <w:rsid w:val="006661AB"/>
    <w:rsid w:val="00673356"/>
    <w:rsid w:val="0067539C"/>
    <w:rsid w:val="0067599F"/>
    <w:rsid w:val="00677C45"/>
    <w:rsid w:val="00680179"/>
    <w:rsid w:val="0068098A"/>
    <w:rsid w:val="00682B65"/>
    <w:rsid w:val="0068301B"/>
    <w:rsid w:val="00683E2A"/>
    <w:rsid w:val="00686B48"/>
    <w:rsid w:val="00686F64"/>
    <w:rsid w:val="0069292D"/>
    <w:rsid w:val="006956F7"/>
    <w:rsid w:val="00696ADE"/>
    <w:rsid w:val="00696E55"/>
    <w:rsid w:val="006A1706"/>
    <w:rsid w:val="006A3D66"/>
    <w:rsid w:val="006B3BC1"/>
    <w:rsid w:val="006B69DB"/>
    <w:rsid w:val="006B6D5C"/>
    <w:rsid w:val="006C16B4"/>
    <w:rsid w:val="006C24FD"/>
    <w:rsid w:val="006C3EDA"/>
    <w:rsid w:val="006D04FC"/>
    <w:rsid w:val="006D22DA"/>
    <w:rsid w:val="006D4E13"/>
    <w:rsid w:val="006D69C0"/>
    <w:rsid w:val="006D6D6B"/>
    <w:rsid w:val="006D7440"/>
    <w:rsid w:val="006D7556"/>
    <w:rsid w:val="006E1E6B"/>
    <w:rsid w:val="006E3D54"/>
    <w:rsid w:val="006E4DF6"/>
    <w:rsid w:val="006E6225"/>
    <w:rsid w:val="006F0B29"/>
    <w:rsid w:val="006F1DE8"/>
    <w:rsid w:val="006F3BD1"/>
    <w:rsid w:val="006F426B"/>
    <w:rsid w:val="006F587A"/>
    <w:rsid w:val="006F6A35"/>
    <w:rsid w:val="006F7D9C"/>
    <w:rsid w:val="00700325"/>
    <w:rsid w:val="007027C9"/>
    <w:rsid w:val="007102C8"/>
    <w:rsid w:val="0071056F"/>
    <w:rsid w:val="00714574"/>
    <w:rsid w:val="007176EE"/>
    <w:rsid w:val="00717BD5"/>
    <w:rsid w:val="007219FA"/>
    <w:rsid w:val="00722DFB"/>
    <w:rsid w:val="00726570"/>
    <w:rsid w:val="00727EC2"/>
    <w:rsid w:val="007315A5"/>
    <w:rsid w:val="00734BF2"/>
    <w:rsid w:val="0074073D"/>
    <w:rsid w:val="00741967"/>
    <w:rsid w:val="00743B8C"/>
    <w:rsid w:val="00755933"/>
    <w:rsid w:val="0075696A"/>
    <w:rsid w:val="00757237"/>
    <w:rsid w:val="00764EA0"/>
    <w:rsid w:val="00772180"/>
    <w:rsid w:val="007756EC"/>
    <w:rsid w:val="00775968"/>
    <w:rsid w:val="00780568"/>
    <w:rsid w:val="00791C9C"/>
    <w:rsid w:val="007973B4"/>
    <w:rsid w:val="00797B89"/>
    <w:rsid w:val="007A22E7"/>
    <w:rsid w:val="007A313E"/>
    <w:rsid w:val="007A6ED9"/>
    <w:rsid w:val="007B14FF"/>
    <w:rsid w:val="007B6518"/>
    <w:rsid w:val="007B66C4"/>
    <w:rsid w:val="007B786C"/>
    <w:rsid w:val="007C1997"/>
    <w:rsid w:val="007C6372"/>
    <w:rsid w:val="007D12E4"/>
    <w:rsid w:val="007E298E"/>
    <w:rsid w:val="007E7E5D"/>
    <w:rsid w:val="007F150B"/>
    <w:rsid w:val="007F2092"/>
    <w:rsid w:val="007F2C3E"/>
    <w:rsid w:val="007F4C1D"/>
    <w:rsid w:val="007F5CAF"/>
    <w:rsid w:val="00802589"/>
    <w:rsid w:val="00804216"/>
    <w:rsid w:val="00807297"/>
    <w:rsid w:val="00810455"/>
    <w:rsid w:val="00813493"/>
    <w:rsid w:val="008138D4"/>
    <w:rsid w:val="00817987"/>
    <w:rsid w:val="00821EB4"/>
    <w:rsid w:val="0082312D"/>
    <w:rsid w:val="008234E7"/>
    <w:rsid w:val="008259AE"/>
    <w:rsid w:val="008329F3"/>
    <w:rsid w:val="00837959"/>
    <w:rsid w:val="0084290D"/>
    <w:rsid w:val="00843FB4"/>
    <w:rsid w:val="0084571F"/>
    <w:rsid w:val="008461ED"/>
    <w:rsid w:val="00846A34"/>
    <w:rsid w:val="0084733E"/>
    <w:rsid w:val="00847ADC"/>
    <w:rsid w:val="00852424"/>
    <w:rsid w:val="0085667B"/>
    <w:rsid w:val="00856B7A"/>
    <w:rsid w:val="0086361E"/>
    <w:rsid w:val="0086567B"/>
    <w:rsid w:val="00866732"/>
    <w:rsid w:val="008668B6"/>
    <w:rsid w:val="0086754E"/>
    <w:rsid w:val="0087115B"/>
    <w:rsid w:val="008717A5"/>
    <w:rsid w:val="00871DFC"/>
    <w:rsid w:val="0087424A"/>
    <w:rsid w:val="008777DF"/>
    <w:rsid w:val="008779FC"/>
    <w:rsid w:val="00877CE6"/>
    <w:rsid w:val="00882080"/>
    <w:rsid w:val="00886B59"/>
    <w:rsid w:val="0089222A"/>
    <w:rsid w:val="00893507"/>
    <w:rsid w:val="0089480D"/>
    <w:rsid w:val="008963A5"/>
    <w:rsid w:val="008A06BC"/>
    <w:rsid w:val="008A2D87"/>
    <w:rsid w:val="008A3B84"/>
    <w:rsid w:val="008A6783"/>
    <w:rsid w:val="008A6B59"/>
    <w:rsid w:val="008A6C8C"/>
    <w:rsid w:val="008B0053"/>
    <w:rsid w:val="008B2A7B"/>
    <w:rsid w:val="008B5291"/>
    <w:rsid w:val="008B5C51"/>
    <w:rsid w:val="008B6310"/>
    <w:rsid w:val="008B6BAD"/>
    <w:rsid w:val="008B6EC7"/>
    <w:rsid w:val="008C0697"/>
    <w:rsid w:val="008D0BFF"/>
    <w:rsid w:val="008D29CE"/>
    <w:rsid w:val="008D604A"/>
    <w:rsid w:val="008D718B"/>
    <w:rsid w:val="008E119C"/>
    <w:rsid w:val="008E1254"/>
    <w:rsid w:val="008E1A4E"/>
    <w:rsid w:val="008E1CA3"/>
    <w:rsid w:val="008E309E"/>
    <w:rsid w:val="008E38B2"/>
    <w:rsid w:val="008E3CFB"/>
    <w:rsid w:val="008E499D"/>
    <w:rsid w:val="008E7793"/>
    <w:rsid w:val="008F2CCF"/>
    <w:rsid w:val="008F36B4"/>
    <w:rsid w:val="00901575"/>
    <w:rsid w:val="00901794"/>
    <w:rsid w:val="0090514C"/>
    <w:rsid w:val="0090535B"/>
    <w:rsid w:val="009057BD"/>
    <w:rsid w:val="0091193D"/>
    <w:rsid w:val="009147D8"/>
    <w:rsid w:val="00916BD3"/>
    <w:rsid w:val="0091732A"/>
    <w:rsid w:val="00921F89"/>
    <w:rsid w:val="00922945"/>
    <w:rsid w:val="0092345A"/>
    <w:rsid w:val="00924407"/>
    <w:rsid w:val="009264E1"/>
    <w:rsid w:val="0092737B"/>
    <w:rsid w:val="00927AB1"/>
    <w:rsid w:val="0093014A"/>
    <w:rsid w:val="009360B9"/>
    <w:rsid w:val="00940716"/>
    <w:rsid w:val="00943F47"/>
    <w:rsid w:val="009458D8"/>
    <w:rsid w:val="009463CB"/>
    <w:rsid w:val="0095569A"/>
    <w:rsid w:val="00956562"/>
    <w:rsid w:val="0095793E"/>
    <w:rsid w:val="00961ADB"/>
    <w:rsid w:val="00963CDB"/>
    <w:rsid w:val="009648CB"/>
    <w:rsid w:val="00965F32"/>
    <w:rsid w:val="00966F38"/>
    <w:rsid w:val="0097278F"/>
    <w:rsid w:val="00973032"/>
    <w:rsid w:val="00974EBE"/>
    <w:rsid w:val="009803FD"/>
    <w:rsid w:val="009822F3"/>
    <w:rsid w:val="00983E56"/>
    <w:rsid w:val="00984463"/>
    <w:rsid w:val="009901DD"/>
    <w:rsid w:val="00991172"/>
    <w:rsid w:val="00991695"/>
    <w:rsid w:val="00993CC7"/>
    <w:rsid w:val="009A12C5"/>
    <w:rsid w:val="009A6B10"/>
    <w:rsid w:val="009A78A0"/>
    <w:rsid w:val="009B199E"/>
    <w:rsid w:val="009B7C47"/>
    <w:rsid w:val="009B7F68"/>
    <w:rsid w:val="009C094E"/>
    <w:rsid w:val="009C152C"/>
    <w:rsid w:val="009C29D5"/>
    <w:rsid w:val="009C6E87"/>
    <w:rsid w:val="009C7580"/>
    <w:rsid w:val="009D066F"/>
    <w:rsid w:val="009D3214"/>
    <w:rsid w:val="009D53FE"/>
    <w:rsid w:val="009D6366"/>
    <w:rsid w:val="009E011D"/>
    <w:rsid w:val="009E177B"/>
    <w:rsid w:val="009E24C4"/>
    <w:rsid w:val="009E2676"/>
    <w:rsid w:val="009E5360"/>
    <w:rsid w:val="009E6ECD"/>
    <w:rsid w:val="009E7F54"/>
    <w:rsid w:val="00A01897"/>
    <w:rsid w:val="00A019DA"/>
    <w:rsid w:val="00A0558A"/>
    <w:rsid w:val="00A16392"/>
    <w:rsid w:val="00A21C9E"/>
    <w:rsid w:val="00A23E3E"/>
    <w:rsid w:val="00A24468"/>
    <w:rsid w:val="00A26507"/>
    <w:rsid w:val="00A308D1"/>
    <w:rsid w:val="00A31489"/>
    <w:rsid w:val="00A31F64"/>
    <w:rsid w:val="00A32167"/>
    <w:rsid w:val="00A33789"/>
    <w:rsid w:val="00A33D92"/>
    <w:rsid w:val="00A437F2"/>
    <w:rsid w:val="00A44683"/>
    <w:rsid w:val="00A4492C"/>
    <w:rsid w:val="00A45082"/>
    <w:rsid w:val="00A4538B"/>
    <w:rsid w:val="00A4587E"/>
    <w:rsid w:val="00A45B29"/>
    <w:rsid w:val="00A45D90"/>
    <w:rsid w:val="00A50181"/>
    <w:rsid w:val="00A511AF"/>
    <w:rsid w:val="00A51F1C"/>
    <w:rsid w:val="00A526FB"/>
    <w:rsid w:val="00A555D8"/>
    <w:rsid w:val="00A579E3"/>
    <w:rsid w:val="00A61637"/>
    <w:rsid w:val="00A62C63"/>
    <w:rsid w:val="00A62E84"/>
    <w:rsid w:val="00A62ED8"/>
    <w:rsid w:val="00A63710"/>
    <w:rsid w:val="00A63914"/>
    <w:rsid w:val="00A63F91"/>
    <w:rsid w:val="00A6563F"/>
    <w:rsid w:val="00A70514"/>
    <w:rsid w:val="00A70AC0"/>
    <w:rsid w:val="00A726DF"/>
    <w:rsid w:val="00A72846"/>
    <w:rsid w:val="00A7316D"/>
    <w:rsid w:val="00A748A9"/>
    <w:rsid w:val="00A77CC3"/>
    <w:rsid w:val="00A83C44"/>
    <w:rsid w:val="00A90789"/>
    <w:rsid w:val="00A912C7"/>
    <w:rsid w:val="00A92A7B"/>
    <w:rsid w:val="00A9470F"/>
    <w:rsid w:val="00A96BC5"/>
    <w:rsid w:val="00A973C8"/>
    <w:rsid w:val="00AA3299"/>
    <w:rsid w:val="00AA66FD"/>
    <w:rsid w:val="00AB31E9"/>
    <w:rsid w:val="00AB527D"/>
    <w:rsid w:val="00AB58CE"/>
    <w:rsid w:val="00AB66FF"/>
    <w:rsid w:val="00AB7979"/>
    <w:rsid w:val="00AC0B12"/>
    <w:rsid w:val="00AC23D6"/>
    <w:rsid w:val="00AC5658"/>
    <w:rsid w:val="00AC59F2"/>
    <w:rsid w:val="00AC6101"/>
    <w:rsid w:val="00AC78D1"/>
    <w:rsid w:val="00AC7F0D"/>
    <w:rsid w:val="00AD32F5"/>
    <w:rsid w:val="00AD416A"/>
    <w:rsid w:val="00AE02B0"/>
    <w:rsid w:val="00AE18CD"/>
    <w:rsid w:val="00AE1C72"/>
    <w:rsid w:val="00AE3F1B"/>
    <w:rsid w:val="00AE5C36"/>
    <w:rsid w:val="00AF69AE"/>
    <w:rsid w:val="00AF7FC7"/>
    <w:rsid w:val="00B00A5B"/>
    <w:rsid w:val="00B037B6"/>
    <w:rsid w:val="00B118EA"/>
    <w:rsid w:val="00B14766"/>
    <w:rsid w:val="00B16DB7"/>
    <w:rsid w:val="00B17BC6"/>
    <w:rsid w:val="00B17F61"/>
    <w:rsid w:val="00B24542"/>
    <w:rsid w:val="00B24926"/>
    <w:rsid w:val="00B24D05"/>
    <w:rsid w:val="00B24E12"/>
    <w:rsid w:val="00B26DAB"/>
    <w:rsid w:val="00B27971"/>
    <w:rsid w:val="00B310F0"/>
    <w:rsid w:val="00B31571"/>
    <w:rsid w:val="00B32BB9"/>
    <w:rsid w:val="00B36711"/>
    <w:rsid w:val="00B40EF9"/>
    <w:rsid w:val="00B4169D"/>
    <w:rsid w:val="00B46A2B"/>
    <w:rsid w:val="00B50F92"/>
    <w:rsid w:val="00B5203A"/>
    <w:rsid w:val="00B53271"/>
    <w:rsid w:val="00B5496F"/>
    <w:rsid w:val="00B563D5"/>
    <w:rsid w:val="00B56C18"/>
    <w:rsid w:val="00B61020"/>
    <w:rsid w:val="00B62DF0"/>
    <w:rsid w:val="00B65490"/>
    <w:rsid w:val="00B65B99"/>
    <w:rsid w:val="00B66C94"/>
    <w:rsid w:val="00B673B9"/>
    <w:rsid w:val="00B70A78"/>
    <w:rsid w:val="00B7121B"/>
    <w:rsid w:val="00B717F4"/>
    <w:rsid w:val="00B763C6"/>
    <w:rsid w:val="00B76A84"/>
    <w:rsid w:val="00B80D59"/>
    <w:rsid w:val="00B81B62"/>
    <w:rsid w:val="00B8250A"/>
    <w:rsid w:val="00B84189"/>
    <w:rsid w:val="00B855D7"/>
    <w:rsid w:val="00B86786"/>
    <w:rsid w:val="00B92669"/>
    <w:rsid w:val="00B93F97"/>
    <w:rsid w:val="00B95C81"/>
    <w:rsid w:val="00B97012"/>
    <w:rsid w:val="00BA0439"/>
    <w:rsid w:val="00BA0E8D"/>
    <w:rsid w:val="00BA1E89"/>
    <w:rsid w:val="00BA5A8E"/>
    <w:rsid w:val="00BA6AF1"/>
    <w:rsid w:val="00BB24BE"/>
    <w:rsid w:val="00BB3D27"/>
    <w:rsid w:val="00BB7066"/>
    <w:rsid w:val="00BC157D"/>
    <w:rsid w:val="00BC291D"/>
    <w:rsid w:val="00BC69BD"/>
    <w:rsid w:val="00BC6E63"/>
    <w:rsid w:val="00BC7511"/>
    <w:rsid w:val="00BC7FCC"/>
    <w:rsid w:val="00BD1C1A"/>
    <w:rsid w:val="00BD1D93"/>
    <w:rsid w:val="00BD62B4"/>
    <w:rsid w:val="00BD733B"/>
    <w:rsid w:val="00BD77A1"/>
    <w:rsid w:val="00BE3A60"/>
    <w:rsid w:val="00BE7988"/>
    <w:rsid w:val="00BE7A29"/>
    <w:rsid w:val="00BF24A7"/>
    <w:rsid w:val="00BF31F6"/>
    <w:rsid w:val="00BF4026"/>
    <w:rsid w:val="00BF63F9"/>
    <w:rsid w:val="00BF74DA"/>
    <w:rsid w:val="00BF7DAD"/>
    <w:rsid w:val="00C0079C"/>
    <w:rsid w:val="00C056BD"/>
    <w:rsid w:val="00C07559"/>
    <w:rsid w:val="00C07B58"/>
    <w:rsid w:val="00C10921"/>
    <w:rsid w:val="00C11806"/>
    <w:rsid w:val="00C121DD"/>
    <w:rsid w:val="00C13573"/>
    <w:rsid w:val="00C17696"/>
    <w:rsid w:val="00C17976"/>
    <w:rsid w:val="00C216F2"/>
    <w:rsid w:val="00C2173B"/>
    <w:rsid w:val="00C21C35"/>
    <w:rsid w:val="00C2560F"/>
    <w:rsid w:val="00C25D8A"/>
    <w:rsid w:val="00C26F59"/>
    <w:rsid w:val="00C3271B"/>
    <w:rsid w:val="00C35581"/>
    <w:rsid w:val="00C371BC"/>
    <w:rsid w:val="00C375A6"/>
    <w:rsid w:val="00C43A96"/>
    <w:rsid w:val="00C44467"/>
    <w:rsid w:val="00C52398"/>
    <w:rsid w:val="00C53782"/>
    <w:rsid w:val="00C5498E"/>
    <w:rsid w:val="00C5776D"/>
    <w:rsid w:val="00C600E3"/>
    <w:rsid w:val="00C60A1C"/>
    <w:rsid w:val="00C6144A"/>
    <w:rsid w:val="00C6173E"/>
    <w:rsid w:val="00C61D90"/>
    <w:rsid w:val="00C62471"/>
    <w:rsid w:val="00C64004"/>
    <w:rsid w:val="00C67854"/>
    <w:rsid w:val="00C72119"/>
    <w:rsid w:val="00C73342"/>
    <w:rsid w:val="00C73A98"/>
    <w:rsid w:val="00C772CC"/>
    <w:rsid w:val="00C846D0"/>
    <w:rsid w:val="00C85B4E"/>
    <w:rsid w:val="00C85EE6"/>
    <w:rsid w:val="00C86F2A"/>
    <w:rsid w:val="00C87C74"/>
    <w:rsid w:val="00C933CA"/>
    <w:rsid w:val="00C93481"/>
    <w:rsid w:val="00C940EB"/>
    <w:rsid w:val="00C96EEB"/>
    <w:rsid w:val="00CA307E"/>
    <w:rsid w:val="00CB1E58"/>
    <w:rsid w:val="00CB401D"/>
    <w:rsid w:val="00CB4889"/>
    <w:rsid w:val="00CC0E60"/>
    <w:rsid w:val="00CC409D"/>
    <w:rsid w:val="00CC5121"/>
    <w:rsid w:val="00CD0E48"/>
    <w:rsid w:val="00CD3158"/>
    <w:rsid w:val="00CD436E"/>
    <w:rsid w:val="00CE01E8"/>
    <w:rsid w:val="00CE124E"/>
    <w:rsid w:val="00CE2814"/>
    <w:rsid w:val="00CE657F"/>
    <w:rsid w:val="00CF2274"/>
    <w:rsid w:val="00CF2B53"/>
    <w:rsid w:val="00CF32E6"/>
    <w:rsid w:val="00CF3EBB"/>
    <w:rsid w:val="00CF57CA"/>
    <w:rsid w:val="00CF6AD0"/>
    <w:rsid w:val="00D0108C"/>
    <w:rsid w:val="00D02C4A"/>
    <w:rsid w:val="00D057EB"/>
    <w:rsid w:val="00D0605D"/>
    <w:rsid w:val="00D06E19"/>
    <w:rsid w:val="00D07584"/>
    <w:rsid w:val="00D0761F"/>
    <w:rsid w:val="00D106AE"/>
    <w:rsid w:val="00D1133A"/>
    <w:rsid w:val="00D14F46"/>
    <w:rsid w:val="00D16DE0"/>
    <w:rsid w:val="00D34BBB"/>
    <w:rsid w:val="00D37D87"/>
    <w:rsid w:val="00D417B2"/>
    <w:rsid w:val="00D45C2E"/>
    <w:rsid w:val="00D468B7"/>
    <w:rsid w:val="00D46D43"/>
    <w:rsid w:val="00D475AA"/>
    <w:rsid w:val="00D526F0"/>
    <w:rsid w:val="00D5516E"/>
    <w:rsid w:val="00D55F2A"/>
    <w:rsid w:val="00D56100"/>
    <w:rsid w:val="00D56491"/>
    <w:rsid w:val="00D60699"/>
    <w:rsid w:val="00D60F33"/>
    <w:rsid w:val="00D67358"/>
    <w:rsid w:val="00D76533"/>
    <w:rsid w:val="00D82B22"/>
    <w:rsid w:val="00D82C38"/>
    <w:rsid w:val="00D841BD"/>
    <w:rsid w:val="00D85652"/>
    <w:rsid w:val="00D85782"/>
    <w:rsid w:val="00D877F7"/>
    <w:rsid w:val="00D90389"/>
    <w:rsid w:val="00D90951"/>
    <w:rsid w:val="00D951DF"/>
    <w:rsid w:val="00D96395"/>
    <w:rsid w:val="00D96EEB"/>
    <w:rsid w:val="00DA239F"/>
    <w:rsid w:val="00DA3163"/>
    <w:rsid w:val="00DA477C"/>
    <w:rsid w:val="00DB0482"/>
    <w:rsid w:val="00DB3B3F"/>
    <w:rsid w:val="00DB67F3"/>
    <w:rsid w:val="00DC22FA"/>
    <w:rsid w:val="00DC25C4"/>
    <w:rsid w:val="00DC35AB"/>
    <w:rsid w:val="00DC3E03"/>
    <w:rsid w:val="00DC6DAD"/>
    <w:rsid w:val="00DC78EC"/>
    <w:rsid w:val="00DD3A2A"/>
    <w:rsid w:val="00DD3C76"/>
    <w:rsid w:val="00DD4C25"/>
    <w:rsid w:val="00DD644E"/>
    <w:rsid w:val="00DD74BD"/>
    <w:rsid w:val="00DE0B0A"/>
    <w:rsid w:val="00DE2232"/>
    <w:rsid w:val="00DE2B6B"/>
    <w:rsid w:val="00DE5DA5"/>
    <w:rsid w:val="00DE61DD"/>
    <w:rsid w:val="00DF0DC0"/>
    <w:rsid w:val="00DF1EE6"/>
    <w:rsid w:val="00DF21E2"/>
    <w:rsid w:val="00DF4257"/>
    <w:rsid w:val="00E0180E"/>
    <w:rsid w:val="00E01E82"/>
    <w:rsid w:val="00E02704"/>
    <w:rsid w:val="00E02B2B"/>
    <w:rsid w:val="00E02B6C"/>
    <w:rsid w:val="00E031FD"/>
    <w:rsid w:val="00E0456D"/>
    <w:rsid w:val="00E04D9C"/>
    <w:rsid w:val="00E05FD6"/>
    <w:rsid w:val="00E05FDA"/>
    <w:rsid w:val="00E1200B"/>
    <w:rsid w:val="00E135B0"/>
    <w:rsid w:val="00E179A4"/>
    <w:rsid w:val="00E2179D"/>
    <w:rsid w:val="00E234A5"/>
    <w:rsid w:val="00E238A3"/>
    <w:rsid w:val="00E24B0A"/>
    <w:rsid w:val="00E3113B"/>
    <w:rsid w:val="00E34859"/>
    <w:rsid w:val="00E44C20"/>
    <w:rsid w:val="00E46A95"/>
    <w:rsid w:val="00E47EC5"/>
    <w:rsid w:val="00E50A58"/>
    <w:rsid w:val="00E551FF"/>
    <w:rsid w:val="00E55D96"/>
    <w:rsid w:val="00E5689C"/>
    <w:rsid w:val="00E57AC0"/>
    <w:rsid w:val="00E61379"/>
    <w:rsid w:val="00E629A1"/>
    <w:rsid w:val="00E63E26"/>
    <w:rsid w:val="00E70303"/>
    <w:rsid w:val="00E71A02"/>
    <w:rsid w:val="00E7299C"/>
    <w:rsid w:val="00E734E9"/>
    <w:rsid w:val="00E73AB2"/>
    <w:rsid w:val="00E7457C"/>
    <w:rsid w:val="00E75289"/>
    <w:rsid w:val="00E77BE3"/>
    <w:rsid w:val="00E804C5"/>
    <w:rsid w:val="00E807A8"/>
    <w:rsid w:val="00E81489"/>
    <w:rsid w:val="00E85778"/>
    <w:rsid w:val="00E914AE"/>
    <w:rsid w:val="00E95737"/>
    <w:rsid w:val="00E96AA8"/>
    <w:rsid w:val="00E97DC2"/>
    <w:rsid w:val="00EA0654"/>
    <w:rsid w:val="00EA0E27"/>
    <w:rsid w:val="00EA0F33"/>
    <w:rsid w:val="00EA18F1"/>
    <w:rsid w:val="00EA7087"/>
    <w:rsid w:val="00EB0118"/>
    <w:rsid w:val="00EC193A"/>
    <w:rsid w:val="00EC2A75"/>
    <w:rsid w:val="00EC5662"/>
    <w:rsid w:val="00ED2059"/>
    <w:rsid w:val="00ED25C0"/>
    <w:rsid w:val="00ED47CA"/>
    <w:rsid w:val="00ED5946"/>
    <w:rsid w:val="00ED6D48"/>
    <w:rsid w:val="00EE12A6"/>
    <w:rsid w:val="00EE13FE"/>
    <w:rsid w:val="00EE4456"/>
    <w:rsid w:val="00EE76B0"/>
    <w:rsid w:val="00EF5036"/>
    <w:rsid w:val="00EF64CE"/>
    <w:rsid w:val="00F021C1"/>
    <w:rsid w:val="00F0352C"/>
    <w:rsid w:val="00F04490"/>
    <w:rsid w:val="00F06A0F"/>
    <w:rsid w:val="00F077CD"/>
    <w:rsid w:val="00F13654"/>
    <w:rsid w:val="00F21CB8"/>
    <w:rsid w:val="00F24C48"/>
    <w:rsid w:val="00F252E6"/>
    <w:rsid w:val="00F27F65"/>
    <w:rsid w:val="00F3034E"/>
    <w:rsid w:val="00F309BD"/>
    <w:rsid w:val="00F30E47"/>
    <w:rsid w:val="00F353F8"/>
    <w:rsid w:val="00F376C5"/>
    <w:rsid w:val="00F441FD"/>
    <w:rsid w:val="00F446C6"/>
    <w:rsid w:val="00F4579F"/>
    <w:rsid w:val="00F566F9"/>
    <w:rsid w:val="00F56F92"/>
    <w:rsid w:val="00F60463"/>
    <w:rsid w:val="00F65D4E"/>
    <w:rsid w:val="00F67F1C"/>
    <w:rsid w:val="00F70D28"/>
    <w:rsid w:val="00F70FFB"/>
    <w:rsid w:val="00F7350B"/>
    <w:rsid w:val="00F757F7"/>
    <w:rsid w:val="00F75A07"/>
    <w:rsid w:val="00F776A8"/>
    <w:rsid w:val="00F77D16"/>
    <w:rsid w:val="00F80D28"/>
    <w:rsid w:val="00F80D87"/>
    <w:rsid w:val="00F87ED2"/>
    <w:rsid w:val="00F9005B"/>
    <w:rsid w:val="00F93595"/>
    <w:rsid w:val="00F93926"/>
    <w:rsid w:val="00F940A0"/>
    <w:rsid w:val="00F955A6"/>
    <w:rsid w:val="00FA2769"/>
    <w:rsid w:val="00FA27FD"/>
    <w:rsid w:val="00FA6594"/>
    <w:rsid w:val="00FB20CA"/>
    <w:rsid w:val="00FB31DF"/>
    <w:rsid w:val="00FB3522"/>
    <w:rsid w:val="00FB7279"/>
    <w:rsid w:val="00FC2B14"/>
    <w:rsid w:val="00FC4ED7"/>
    <w:rsid w:val="00FC7C8E"/>
    <w:rsid w:val="00FD0071"/>
    <w:rsid w:val="00FD16AF"/>
    <w:rsid w:val="00FD23F9"/>
    <w:rsid w:val="00FD5374"/>
    <w:rsid w:val="00FD6772"/>
    <w:rsid w:val="00FD67EF"/>
    <w:rsid w:val="00FD6F0B"/>
    <w:rsid w:val="00FE071A"/>
    <w:rsid w:val="00FE07AA"/>
    <w:rsid w:val="00FE0D3D"/>
    <w:rsid w:val="00FE12FB"/>
    <w:rsid w:val="00FE3550"/>
    <w:rsid w:val="00FE4B05"/>
    <w:rsid w:val="00FE5723"/>
    <w:rsid w:val="00FE5832"/>
    <w:rsid w:val="00FE67AC"/>
    <w:rsid w:val="00FF085A"/>
    <w:rsid w:val="00FF1029"/>
    <w:rsid w:val="00FF135A"/>
    <w:rsid w:val="00FF1867"/>
    <w:rsid w:val="00FF2137"/>
    <w:rsid w:val="00FF5153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0FDFE-78DF-4742-B3B3-881C977A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6391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s-MX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paragraph" w:styleId="Piedepgina">
    <w:name w:val="footer"/>
    <w:basedOn w:val="Normal"/>
    <w:link w:val="PiedepginaCar"/>
    <w:rsid w:val="005461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461E1"/>
    <w:rPr>
      <w:rFonts w:ascii="Arial" w:hAnsi="Arial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95793E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E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25A5-6062-4304-B94E-4DBEA2A1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re02</vt:lpstr>
    </vt:vector>
  </TitlesOfParts>
  <Company>INEE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re02</dc:title>
  <dc:subject/>
  <dc:creator>vmedrano</dc:creator>
  <cp:keywords/>
  <cp:lastModifiedBy>NAA</cp:lastModifiedBy>
  <cp:revision>37</cp:revision>
  <cp:lastPrinted>2016-02-29T16:39:00Z</cp:lastPrinted>
  <dcterms:created xsi:type="dcterms:W3CDTF">2019-02-15T19:55:00Z</dcterms:created>
  <dcterms:modified xsi:type="dcterms:W3CDTF">2019-04-02T16:10:00Z</dcterms:modified>
</cp:coreProperties>
</file>