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page" w:tblpX="868" w:tblpY="308"/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0"/>
      </w:tblGrid>
      <w:tr w:rsidR="00B1302F" w:rsidRPr="00D804F7" w14:paraId="199BDBB1" w14:textId="77777777" w:rsidTr="00CA465B">
        <w:trPr>
          <w:trHeight w:val="567"/>
        </w:trPr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9040" w14:textId="1B6D8B32" w:rsidR="00B1302F" w:rsidRPr="000638B9" w:rsidRDefault="00B1302F" w:rsidP="00CA465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  <w:t xml:space="preserve">Gasto </w:t>
            </w:r>
            <w:r w:rsidR="00CA1287">
              <w:rPr>
                <w:rFonts w:cs="Arial"/>
                <w:iCs/>
                <w:sz w:val="16"/>
                <w:szCs w:val="16"/>
              </w:rPr>
              <w:t>F</w:t>
            </w:r>
            <w:r>
              <w:rPr>
                <w:rFonts w:cs="Arial"/>
                <w:iCs/>
                <w:sz w:val="16"/>
                <w:szCs w:val="16"/>
              </w:rPr>
              <w:t xml:space="preserve">ederal </w:t>
            </w:r>
            <w:r w:rsidR="00CA1287">
              <w:rPr>
                <w:rFonts w:cs="Arial"/>
                <w:iCs/>
                <w:sz w:val="16"/>
                <w:szCs w:val="16"/>
              </w:rPr>
              <w:t>E</w:t>
            </w:r>
            <w:r>
              <w:rPr>
                <w:rFonts w:cs="Arial"/>
                <w:iCs/>
                <w:sz w:val="16"/>
                <w:szCs w:val="16"/>
              </w:rPr>
              <w:t xml:space="preserve">jercido en </w:t>
            </w:r>
            <w:r w:rsidR="00CA1287">
              <w:rPr>
                <w:rFonts w:cs="Arial"/>
                <w:iCs/>
                <w:sz w:val="16"/>
                <w:szCs w:val="16"/>
              </w:rPr>
              <w:t>E</w:t>
            </w:r>
            <w:r>
              <w:rPr>
                <w:rFonts w:cs="Arial"/>
                <w:iCs/>
                <w:sz w:val="16"/>
                <w:szCs w:val="16"/>
              </w:rPr>
              <w:t xml:space="preserve">ducación </w:t>
            </w:r>
            <w:r w:rsidR="00CA1287">
              <w:rPr>
                <w:rFonts w:cs="Arial"/>
                <w:iCs/>
                <w:sz w:val="16"/>
                <w:szCs w:val="16"/>
              </w:rPr>
              <w:t>O</w:t>
            </w:r>
            <w:r>
              <w:rPr>
                <w:rFonts w:cs="Arial"/>
                <w:iCs/>
                <w:sz w:val="16"/>
                <w:szCs w:val="16"/>
              </w:rPr>
              <w:t>bligatoria</w:t>
            </w:r>
          </w:p>
        </w:tc>
      </w:tr>
      <w:tr w:rsidR="00B1302F" w:rsidRPr="00D804F7" w14:paraId="2E6704D0" w14:textId="77777777" w:rsidTr="00CA465B">
        <w:trPr>
          <w:trHeight w:val="763"/>
        </w:trPr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D345" w14:textId="77777777" w:rsidR="00B1302F" w:rsidRDefault="00B1302F" w:rsidP="00CA465B">
            <w:pPr>
              <w:rPr>
                <w:rFonts w:cs="Arial"/>
                <w:b/>
                <w:sz w:val="16"/>
                <w:szCs w:val="16"/>
              </w:rPr>
            </w:pPr>
            <w:r w:rsidRPr="00D804F7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5D80B9DC" w14:textId="4C951E43" w:rsidR="00B1302F" w:rsidRPr="004B33F1" w:rsidRDefault="00B1302F" w:rsidP="00CA465B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Son los recursos que la federación destina, </w:t>
            </w:r>
            <w:r w:rsidR="00DB351D">
              <w:rPr>
                <w:rFonts w:cs="Arial"/>
                <w:sz w:val="16"/>
                <w:szCs w:val="16"/>
              </w:rPr>
              <w:t>por medio</w:t>
            </w:r>
            <w:r>
              <w:rPr>
                <w:rFonts w:cs="Arial"/>
                <w:sz w:val="16"/>
                <w:szCs w:val="16"/>
              </w:rPr>
              <w:t xml:space="preserve"> de programas presupuestarios, para educación básica, educación media superior y educación para adultos; una parte de estos recursos se asigna mediante programas federales</w:t>
            </w:r>
            <w:r w:rsidR="0091696D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y otra </w:t>
            </w:r>
            <w:r w:rsidR="00DB351D">
              <w:rPr>
                <w:rFonts w:cs="Arial"/>
                <w:sz w:val="16"/>
                <w:szCs w:val="16"/>
              </w:rPr>
              <w:t>mediante</w:t>
            </w:r>
            <w:r>
              <w:rPr>
                <w:rFonts w:cs="Arial"/>
                <w:sz w:val="16"/>
                <w:szCs w:val="16"/>
              </w:rPr>
              <w:t xml:space="preserve"> programas de gasto federalizado.</w:t>
            </w:r>
          </w:p>
        </w:tc>
      </w:tr>
      <w:tr w:rsidR="00B1302F" w:rsidRPr="00D804F7" w14:paraId="5AD56A01" w14:textId="77777777" w:rsidTr="00CA465B">
        <w:trPr>
          <w:trHeight w:val="1547"/>
        </w:trPr>
        <w:tc>
          <w:tcPr>
            <w:tcW w:w="92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7BE0" w14:textId="1EAFBBC5" w:rsidR="00B1302F" w:rsidRPr="00552C27" w:rsidRDefault="00B1302F" w:rsidP="00CA465B">
            <w:pPr>
              <w:ind w:right="-70"/>
              <w:rPr>
                <w:rFonts w:cs="Arial"/>
                <w:b/>
                <w:sz w:val="16"/>
                <w:szCs w:val="16"/>
                <w:vertAlign w:val="superscript"/>
              </w:rPr>
            </w:pPr>
            <w:r>
              <w:rPr>
                <w:rFonts w:cs="Arial"/>
                <w:b/>
                <w:sz w:val="16"/>
                <w:szCs w:val="16"/>
              </w:rPr>
              <w:t>Fó</w:t>
            </w:r>
            <w:r w:rsidRPr="00D804F7">
              <w:rPr>
                <w:rFonts w:cs="Arial"/>
                <w:b/>
                <w:sz w:val="16"/>
                <w:szCs w:val="16"/>
              </w:rPr>
              <w:t>rmula de cálculo</w:t>
            </w:r>
            <w:r>
              <w:rPr>
                <w:rFonts w:cs="Arial"/>
                <w:b/>
                <w:sz w:val="16"/>
                <w:szCs w:val="16"/>
                <w:vertAlign w:val="superscript"/>
              </w:rPr>
              <w:t>1</w:t>
            </w:r>
            <w:r w:rsidR="00DB351D">
              <w:rPr>
                <w:rFonts w:cs="Arial"/>
                <w:b/>
                <w:sz w:val="16"/>
                <w:szCs w:val="16"/>
                <w:vertAlign w:val="superscript"/>
              </w:rPr>
              <w:t xml:space="preserve">, </w:t>
            </w:r>
            <w:r>
              <w:rPr>
                <w:rFonts w:cs="Arial"/>
                <w:b/>
                <w:sz w:val="16"/>
                <w:szCs w:val="16"/>
                <w:vertAlign w:val="superscript"/>
              </w:rPr>
              <w:t>2</w:t>
            </w:r>
          </w:p>
          <w:p w14:paraId="7C0D11D2" w14:textId="77777777" w:rsidR="00B1302F" w:rsidRDefault="00B1302F" w:rsidP="00CA465B">
            <w:pPr>
              <w:rPr>
                <w:rFonts w:cs="Arial"/>
                <w:sz w:val="16"/>
                <w:szCs w:val="16"/>
              </w:rPr>
            </w:pPr>
          </w:p>
          <w:p w14:paraId="1C719024" w14:textId="77777777" w:rsidR="00B1302F" w:rsidRDefault="00B1302F" w:rsidP="00CA465B">
            <w:pPr>
              <w:jc w:val="center"/>
              <w:rPr>
                <w:rFonts w:cs="Arial"/>
                <w:sz w:val="16"/>
                <w:szCs w:val="16"/>
              </w:rPr>
            </w:pPr>
            <w:r w:rsidRPr="00802A68">
              <w:rPr>
                <w:rFonts w:cs="Arial"/>
                <w:position w:val="-14"/>
                <w:sz w:val="16"/>
                <w:szCs w:val="16"/>
              </w:rPr>
              <w:object w:dxaOrig="2160" w:dyaOrig="380" w14:anchorId="505FDC0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17.25pt" o:ole="">
                  <v:imagedata r:id="rId7" o:title=""/>
                </v:shape>
                <o:OLEObject Type="Embed" ProgID="Equation.3" ShapeID="_x0000_i1025" DrawAspect="Content" ObjectID="_1623686876" r:id="rId8"/>
              </w:object>
            </w:r>
          </w:p>
          <w:p w14:paraId="4BB36974" w14:textId="77777777" w:rsidR="00B1302F" w:rsidRDefault="00B1302F" w:rsidP="00CA465B">
            <w:pPr>
              <w:jc w:val="center"/>
              <w:rPr>
                <w:rFonts w:cs="Arial"/>
                <w:sz w:val="16"/>
                <w:szCs w:val="16"/>
              </w:rPr>
            </w:pPr>
            <w:r w:rsidRPr="00802A68">
              <w:rPr>
                <w:rFonts w:cs="Arial"/>
                <w:position w:val="-28"/>
                <w:sz w:val="16"/>
                <w:szCs w:val="16"/>
              </w:rPr>
              <w:object w:dxaOrig="1380" w:dyaOrig="680" w14:anchorId="088984B7">
                <v:shape id="_x0000_i1026" type="#_x0000_t75" style="width:69pt;height:33pt" o:ole="">
                  <v:imagedata r:id="rId9" o:title=""/>
                </v:shape>
                <o:OLEObject Type="Embed" ProgID="Equation.3" ShapeID="_x0000_i1026" DrawAspect="Content" ObjectID="_1623686877" r:id="rId10"/>
              </w:object>
            </w:r>
          </w:p>
          <w:p w14:paraId="3CE15FB5" w14:textId="77777777" w:rsidR="00B1302F" w:rsidRPr="00DD3CCC" w:rsidRDefault="00B1302F" w:rsidP="00CA465B">
            <w:pPr>
              <w:jc w:val="center"/>
              <w:rPr>
                <w:rFonts w:cs="Arial"/>
                <w:sz w:val="16"/>
                <w:szCs w:val="16"/>
              </w:rPr>
            </w:pPr>
            <w:r w:rsidRPr="0064630D">
              <w:rPr>
                <w:rFonts w:cs="Arial"/>
                <w:position w:val="-30"/>
                <w:sz w:val="16"/>
                <w:szCs w:val="16"/>
              </w:rPr>
              <w:object w:dxaOrig="1680" w:dyaOrig="700" w14:anchorId="1EB5177B">
                <v:shape id="_x0000_i1027" type="#_x0000_t75" style="width:79.5pt;height:33pt" o:ole="">
                  <v:imagedata r:id="rId11" o:title=""/>
                </v:shape>
                <o:OLEObject Type="Embed" ProgID="Equation.3" ShapeID="_x0000_i1027" DrawAspect="Content" ObjectID="_1623686878" r:id="rId12"/>
              </w:object>
            </w:r>
          </w:p>
          <w:p w14:paraId="2D21710E" w14:textId="77777777" w:rsidR="00B1302F" w:rsidRPr="00DD3CCC" w:rsidRDefault="00B1302F" w:rsidP="00CA465B">
            <w:pPr>
              <w:ind w:left="900" w:hanging="900"/>
              <w:rPr>
                <w:rFonts w:cs="Arial"/>
                <w:sz w:val="16"/>
                <w:szCs w:val="16"/>
              </w:rPr>
            </w:pPr>
          </w:p>
          <w:tbl>
            <w:tblPr>
              <w:tblW w:w="0" w:type="auto"/>
              <w:tblInd w:w="438" w:type="dxa"/>
              <w:tblLayout w:type="fixed"/>
              <w:tblLook w:val="01E0" w:firstRow="1" w:lastRow="1" w:firstColumn="1" w:lastColumn="1" w:noHBand="0" w:noVBand="0"/>
            </w:tblPr>
            <w:tblGrid>
              <w:gridCol w:w="1300"/>
              <w:gridCol w:w="6797"/>
            </w:tblGrid>
            <w:tr w:rsidR="00B1302F" w:rsidRPr="00F41984" w14:paraId="368B2B6B" w14:textId="77777777" w:rsidTr="00B45606">
              <w:trPr>
                <w:trHeight w:val="305"/>
              </w:trPr>
              <w:tc>
                <w:tcPr>
                  <w:tcW w:w="1300" w:type="dxa"/>
                  <w:vAlign w:val="center"/>
                </w:tcPr>
                <w:p w14:paraId="76FAF8CE" w14:textId="77777777" w:rsidR="00B1302F" w:rsidRPr="00812F4B" w:rsidRDefault="00B1302F" w:rsidP="0091696D">
                  <w:pPr>
                    <w:framePr w:hSpace="141" w:wrap="around" w:vAnchor="text" w:hAnchor="page" w:x="868" w:y="3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02A68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780" w:dyaOrig="380" w14:anchorId="24528999">
                      <v:shape id="_x0000_i1028" type="#_x0000_t75" style="width:38.25pt;height:17.25pt" o:ole="" fillcolor="window">
                        <v:imagedata r:id="rId13" o:title=""/>
                      </v:shape>
                      <o:OLEObject Type="Embed" ProgID="Equation.3" ShapeID="_x0000_i1028" DrawAspect="Content" ObjectID="_1623686879" r:id="rId14"/>
                    </w:object>
                  </w:r>
                </w:p>
              </w:tc>
              <w:tc>
                <w:tcPr>
                  <w:tcW w:w="6797" w:type="dxa"/>
                  <w:vAlign w:val="center"/>
                </w:tcPr>
                <w:p w14:paraId="1527E50F" w14:textId="48BB55AE" w:rsidR="00B1302F" w:rsidRPr="00812F4B" w:rsidRDefault="00B1302F" w:rsidP="0091696D">
                  <w:pPr>
                    <w:framePr w:hSpace="141" w:wrap="around" w:vAnchor="text" w:hAnchor="page" w:x="868" w:y="308"/>
                    <w:rPr>
                      <w:rFonts w:cs="Arial"/>
                      <w:sz w:val="16"/>
                      <w:szCs w:val="16"/>
                    </w:rPr>
                  </w:pPr>
                  <w:r w:rsidRPr="00812F4B">
                    <w:rPr>
                      <w:rFonts w:cs="Arial"/>
                      <w:sz w:val="16"/>
                      <w:szCs w:val="16"/>
                    </w:rPr>
                    <w:t xml:space="preserve">Gasto </w:t>
                  </w:r>
                  <w:r w:rsidR="00CA1287">
                    <w:rPr>
                      <w:rFonts w:cs="Arial"/>
                      <w:sz w:val="16"/>
                      <w:szCs w:val="16"/>
                    </w:rPr>
                    <w:t>F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ederal </w:t>
                  </w:r>
                  <w:r w:rsidR="00CA1287">
                    <w:rPr>
                      <w:rFonts w:cs="Arial"/>
                      <w:sz w:val="16"/>
                      <w:szCs w:val="16"/>
                    </w:rPr>
                    <w:t>E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jercido en </w:t>
                  </w:r>
                  <w:r w:rsidR="00CA1287">
                    <w:rPr>
                      <w:rFonts w:cs="Arial"/>
                      <w:sz w:val="16"/>
                      <w:szCs w:val="16"/>
                    </w:rPr>
                    <w:t>E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ducación </w:t>
                  </w:r>
                  <w:r w:rsidR="00CA1287">
                    <w:rPr>
                      <w:rFonts w:cs="Arial"/>
                      <w:sz w:val="16"/>
                      <w:szCs w:val="16"/>
                    </w:rPr>
                    <w:t>O</w:t>
                  </w:r>
                  <w:r>
                    <w:rPr>
                      <w:rFonts w:cs="Arial"/>
                      <w:sz w:val="16"/>
                      <w:szCs w:val="16"/>
                    </w:rPr>
                    <w:t>bligatoria</w:t>
                  </w:r>
                  <w:r w:rsidRPr="00812F4B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B1302F" w:rsidRPr="00F41984" w14:paraId="1D1C6B82" w14:textId="77777777" w:rsidTr="00B45606">
              <w:trPr>
                <w:trHeight w:val="267"/>
              </w:trPr>
              <w:tc>
                <w:tcPr>
                  <w:tcW w:w="1300" w:type="dxa"/>
                  <w:vAlign w:val="center"/>
                </w:tcPr>
                <w:p w14:paraId="140D7FD7" w14:textId="77777777" w:rsidR="00B1302F" w:rsidRPr="00812F4B" w:rsidRDefault="00B1302F" w:rsidP="0091696D">
                  <w:pPr>
                    <w:framePr w:hSpace="141" w:wrap="around" w:vAnchor="text" w:hAnchor="page" w:x="868" w:y="3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02A68">
                    <w:rPr>
                      <w:rFonts w:cs="Arial"/>
                      <w:position w:val="-10"/>
                      <w:sz w:val="16"/>
                      <w:szCs w:val="16"/>
                    </w:rPr>
                    <w:object w:dxaOrig="440" w:dyaOrig="340" w14:anchorId="0D758A1A">
                      <v:shape id="_x0000_i1029" type="#_x0000_t75" style="width:20.25pt;height:15.75pt" o:ole="">
                        <v:imagedata r:id="rId15" o:title=""/>
                      </v:shape>
                      <o:OLEObject Type="Embed" ProgID="Equation.3" ShapeID="_x0000_i1029" DrawAspect="Content" ObjectID="_1623686880" r:id="rId16"/>
                    </w:object>
                  </w:r>
                </w:p>
              </w:tc>
              <w:tc>
                <w:tcPr>
                  <w:tcW w:w="6797" w:type="dxa"/>
                  <w:vAlign w:val="center"/>
                </w:tcPr>
                <w:p w14:paraId="64EE1805" w14:textId="77777777" w:rsidR="00B1302F" w:rsidRPr="00812F4B" w:rsidRDefault="00B1302F" w:rsidP="0091696D">
                  <w:pPr>
                    <w:framePr w:hSpace="141" w:wrap="around" w:vAnchor="text" w:hAnchor="page" w:x="868" w:y="308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Gasto anual en educación obligatoria mediante programas federales</w:t>
                  </w:r>
                  <w:r w:rsidRPr="00812F4B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B1302F" w:rsidRPr="00F41984" w14:paraId="26D629D6" w14:textId="77777777" w:rsidTr="00B45606">
              <w:trPr>
                <w:trHeight w:val="280"/>
              </w:trPr>
              <w:tc>
                <w:tcPr>
                  <w:tcW w:w="1300" w:type="dxa"/>
                  <w:vAlign w:val="center"/>
                </w:tcPr>
                <w:p w14:paraId="66551F15" w14:textId="77777777" w:rsidR="00B1302F" w:rsidRPr="00812F4B" w:rsidRDefault="00B1302F" w:rsidP="0091696D">
                  <w:pPr>
                    <w:framePr w:hSpace="141" w:wrap="around" w:vAnchor="text" w:hAnchor="page" w:x="868" w:y="3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02A68">
                    <w:rPr>
                      <w:rFonts w:cs="Arial"/>
                      <w:position w:val="-12"/>
                      <w:sz w:val="16"/>
                      <w:szCs w:val="16"/>
                    </w:rPr>
                    <w:object w:dxaOrig="540" w:dyaOrig="360" w14:anchorId="713FC0EA">
                      <v:shape id="_x0000_i1030" type="#_x0000_t75" style="width:24.75pt;height:16.5pt" o:ole="">
                        <v:imagedata r:id="rId17" o:title=""/>
                      </v:shape>
                      <o:OLEObject Type="Embed" ProgID="Equation.3" ShapeID="_x0000_i1030" DrawAspect="Content" ObjectID="_1623686881" r:id="rId18"/>
                    </w:object>
                  </w:r>
                </w:p>
              </w:tc>
              <w:tc>
                <w:tcPr>
                  <w:tcW w:w="6797" w:type="dxa"/>
                  <w:vAlign w:val="center"/>
                </w:tcPr>
                <w:p w14:paraId="6A96660E" w14:textId="77777777" w:rsidR="00B1302F" w:rsidRPr="00812F4B" w:rsidRDefault="00B1302F" w:rsidP="0091696D">
                  <w:pPr>
                    <w:framePr w:hSpace="141" w:wrap="around" w:vAnchor="text" w:hAnchor="page" w:x="868" w:y="308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Gasto anual en educación obligatoria mediante programas de gasto federalizado.</w:t>
                  </w:r>
                </w:p>
              </w:tc>
            </w:tr>
            <w:tr w:rsidR="00B1302F" w:rsidRPr="00F41984" w14:paraId="312E76F1" w14:textId="77777777" w:rsidTr="00B45606">
              <w:trPr>
                <w:trHeight w:val="392"/>
              </w:trPr>
              <w:tc>
                <w:tcPr>
                  <w:tcW w:w="1300" w:type="dxa"/>
                  <w:vAlign w:val="center"/>
                </w:tcPr>
                <w:p w14:paraId="010FCF29" w14:textId="77777777" w:rsidR="00B1302F" w:rsidRPr="007D068E" w:rsidRDefault="00B1302F" w:rsidP="0091696D">
                  <w:pPr>
                    <w:framePr w:hSpace="141" w:wrap="around" w:vAnchor="text" w:hAnchor="page" w:x="868" w:y="3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02A68">
                    <w:rPr>
                      <w:rFonts w:cs="Arial"/>
                      <w:position w:val="-12"/>
                      <w:sz w:val="16"/>
                      <w:szCs w:val="16"/>
                    </w:rPr>
                    <w:object w:dxaOrig="420" w:dyaOrig="360" w14:anchorId="35D8B710">
                      <v:shape id="_x0000_i1031" type="#_x0000_t75" style="width:20.25pt;height:16.5pt" o:ole="">
                        <v:imagedata r:id="rId19" o:title=""/>
                      </v:shape>
                      <o:OLEObject Type="Embed" ProgID="Equation.3" ShapeID="_x0000_i1031" DrawAspect="Content" ObjectID="_1623686882" r:id="rId20"/>
                    </w:object>
                  </w:r>
                </w:p>
              </w:tc>
              <w:tc>
                <w:tcPr>
                  <w:tcW w:w="6797" w:type="dxa"/>
                  <w:vAlign w:val="center"/>
                </w:tcPr>
                <w:p w14:paraId="568B1842" w14:textId="77777777" w:rsidR="00B1302F" w:rsidRPr="00D6572D" w:rsidRDefault="00B1302F" w:rsidP="0091696D">
                  <w:pPr>
                    <w:framePr w:hSpace="141" w:wrap="around" w:vAnchor="text" w:hAnchor="page" w:x="868" w:y="308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Gasto anual del programa federal </w:t>
                  </w:r>
                  <w:r>
                    <w:rPr>
                      <w:rFonts w:cs="Arial"/>
                      <w:i/>
                      <w:sz w:val="16"/>
                      <w:szCs w:val="16"/>
                    </w:rPr>
                    <w:t>i</w:t>
                  </w:r>
                  <w:r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B1302F" w:rsidRPr="00F41984" w14:paraId="18F1CCFF" w14:textId="77777777" w:rsidTr="00B45606">
              <w:trPr>
                <w:trHeight w:val="392"/>
              </w:trPr>
              <w:tc>
                <w:tcPr>
                  <w:tcW w:w="1300" w:type="dxa"/>
                  <w:vAlign w:val="center"/>
                </w:tcPr>
                <w:p w14:paraId="5E95CE1F" w14:textId="77777777" w:rsidR="00B1302F" w:rsidRPr="007D068E" w:rsidRDefault="00B1302F" w:rsidP="0091696D">
                  <w:pPr>
                    <w:framePr w:hSpace="141" w:wrap="around" w:vAnchor="text" w:hAnchor="page" w:x="868" w:y="3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02A68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620" w:dyaOrig="380" w14:anchorId="55F3A393">
                      <v:shape id="_x0000_i1032" type="#_x0000_t75" style="width:29.25pt;height:17.25pt" o:ole="">
                        <v:imagedata r:id="rId21" o:title=""/>
                      </v:shape>
                      <o:OLEObject Type="Embed" ProgID="Equation.3" ShapeID="_x0000_i1032" DrawAspect="Content" ObjectID="_1623686883" r:id="rId22"/>
                    </w:object>
                  </w:r>
                </w:p>
              </w:tc>
              <w:tc>
                <w:tcPr>
                  <w:tcW w:w="6797" w:type="dxa"/>
                  <w:vAlign w:val="center"/>
                </w:tcPr>
                <w:p w14:paraId="34115B8C" w14:textId="77777777" w:rsidR="00B1302F" w:rsidRDefault="00B1302F" w:rsidP="0091696D">
                  <w:pPr>
                    <w:framePr w:hSpace="141" w:wrap="around" w:vAnchor="text" w:hAnchor="page" w:x="868" w:y="308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Gasto anual del programa de gasto federalizado </w:t>
                  </w:r>
                  <w:r w:rsidRPr="00C34830">
                    <w:rPr>
                      <w:rFonts w:cs="Arial"/>
                      <w:i/>
                      <w:sz w:val="16"/>
                      <w:szCs w:val="16"/>
                    </w:rPr>
                    <w:t>j</w:t>
                  </w:r>
                  <w:r w:rsidRPr="00DC268E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B1302F" w:rsidRPr="00F41984" w14:paraId="760098A8" w14:textId="77777777" w:rsidTr="00B45606">
              <w:trPr>
                <w:trHeight w:val="252"/>
              </w:trPr>
              <w:tc>
                <w:tcPr>
                  <w:tcW w:w="1300" w:type="dxa"/>
                  <w:vAlign w:val="center"/>
                </w:tcPr>
                <w:p w14:paraId="0F5222E3" w14:textId="77777777" w:rsidR="00B1302F" w:rsidRPr="007D068E" w:rsidRDefault="00B1302F" w:rsidP="0091696D">
                  <w:pPr>
                    <w:framePr w:hSpace="141" w:wrap="around" w:vAnchor="text" w:hAnchor="page" w:x="868" w:y="3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6572D">
                    <w:rPr>
                      <w:rFonts w:cs="Arial"/>
                      <w:position w:val="-6"/>
                      <w:sz w:val="16"/>
                      <w:szCs w:val="16"/>
                    </w:rPr>
                    <w:object w:dxaOrig="260" w:dyaOrig="220" w14:anchorId="7ED7122B">
                      <v:shape id="_x0000_i1033" type="#_x0000_t75" style="width:12pt;height:9.75pt" o:ole="">
                        <v:imagedata r:id="rId23" o:title=""/>
                      </v:shape>
                      <o:OLEObject Type="Embed" ProgID="Equation.3" ShapeID="_x0000_i1033" DrawAspect="Content" ObjectID="_1623686884" r:id="rId24"/>
                    </w:object>
                  </w:r>
                </w:p>
              </w:tc>
              <w:tc>
                <w:tcPr>
                  <w:tcW w:w="6797" w:type="dxa"/>
                  <w:vAlign w:val="center"/>
                </w:tcPr>
                <w:p w14:paraId="5D11268B" w14:textId="77777777" w:rsidR="00B1302F" w:rsidRPr="00A654F6" w:rsidRDefault="00B1302F" w:rsidP="0091696D">
                  <w:pPr>
                    <w:framePr w:hSpace="141" w:wrap="around" w:vAnchor="text" w:hAnchor="page" w:x="868" w:y="308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Total de programas federales de educación obligatoria.</w:t>
                  </w:r>
                </w:p>
              </w:tc>
            </w:tr>
            <w:tr w:rsidR="00B1302F" w:rsidRPr="00F41984" w14:paraId="66E345EC" w14:textId="77777777" w:rsidTr="00B45606">
              <w:trPr>
                <w:trHeight w:val="293"/>
              </w:trPr>
              <w:tc>
                <w:tcPr>
                  <w:tcW w:w="1300" w:type="dxa"/>
                  <w:vAlign w:val="center"/>
                </w:tcPr>
                <w:p w14:paraId="0FED5008" w14:textId="77777777" w:rsidR="00B1302F" w:rsidRPr="007D068E" w:rsidRDefault="00B1302F" w:rsidP="0091696D">
                  <w:pPr>
                    <w:framePr w:hSpace="141" w:wrap="around" w:vAnchor="text" w:hAnchor="page" w:x="868" w:y="3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02A68">
                    <w:rPr>
                      <w:rFonts w:cs="Arial"/>
                      <w:position w:val="-14"/>
                      <w:sz w:val="16"/>
                      <w:szCs w:val="16"/>
                    </w:rPr>
                    <w:object w:dxaOrig="260" w:dyaOrig="380" w14:anchorId="1BE0FEAC">
                      <v:shape id="_x0000_i1034" type="#_x0000_t75" style="width:12pt;height:17.25pt" o:ole="">
                        <v:imagedata r:id="rId25" o:title=""/>
                      </v:shape>
                      <o:OLEObject Type="Embed" ProgID="Equation.3" ShapeID="_x0000_i1034" DrawAspect="Content" ObjectID="_1623686885" r:id="rId26"/>
                    </w:object>
                  </w:r>
                </w:p>
              </w:tc>
              <w:tc>
                <w:tcPr>
                  <w:tcW w:w="6797" w:type="dxa"/>
                  <w:vAlign w:val="center"/>
                </w:tcPr>
                <w:p w14:paraId="1E240512" w14:textId="77777777" w:rsidR="00B1302F" w:rsidRDefault="00B1302F" w:rsidP="0091696D">
                  <w:pPr>
                    <w:framePr w:hSpace="141" w:wrap="around" w:vAnchor="text" w:hAnchor="page" w:x="868" w:y="308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Total de programas de gasto federalizado de educación obligatoria.</w:t>
                  </w:r>
                </w:p>
              </w:tc>
            </w:tr>
            <w:tr w:rsidR="00B1302F" w:rsidRPr="00F41984" w14:paraId="7436C707" w14:textId="77777777" w:rsidTr="00B45606">
              <w:trPr>
                <w:trHeight w:val="67"/>
              </w:trPr>
              <w:tc>
                <w:tcPr>
                  <w:tcW w:w="1300" w:type="dxa"/>
                  <w:vAlign w:val="center"/>
                </w:tcPr>
                <w:p w14:paraId="37FE6C64" w14:textId="77777777" w:rsidR="00B1302F" w:rsidRPr="007D068E" w:rsidRDefault="00B1302F" w:rsidP="0091696D">
                  <w:pPr>
                    <w:framePr w:hSpace="141" w:wrap="around" w:vAnchor="text" w:hAnchor="page" w:x="868" w:y="3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797" w:type="dxa"/>
                  <w:vAlign w:val="center"/>
                </w:tcPr>
                <w:p w14:paraId="36910342" w14:textId="77777777" w:rsidR="00B1302F" w:rsidRDefault="00B1302F" w:rsidP="0091696D">
                  <w:pPr>
                    <w:framePr w:hSpace="141" w:wrap="around" w:vAnchor="text" w:hAnchor="page" w:x="868" w:y="308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B1302F" w:rsidRPr="00F41984" w14:paraId="46F1C630" w14:textId="77777777" w:rsidTr="00B45606">
              <w:trPr>
                <w:trHeight w:val="67"/>
              </w:trPr>
              <w:tc>
                <w:tcPr>
                  <w:tcW w:w="1300" w:type="dxa"/>
                  <w:vAlign w:val="center"/>
                </w:tcPr>
                <w:p w14:paraId="747E3F64" w14:textId="77777777" w:rsidR="00B1302F" w:rsidRPr="007D068E" w:rsidRDefault="00B1302F" w:rsidP="0091696D">
                  <w:pPr>
                    <w:framePr w:hSpace="141" w:wrap="around" w:vAnchor="text" w:hAnchor="page" w:x="868" w:y="308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797" w:type="dxa"/>
                  <w:vAlign w:val="center"/>
                </w:tcPr>
                <w:p w14:paraId="2A52D63E" w14:textId="77777777" w:rsidR="00B1302F" w:rsidRPr="00DC268E" w:rsidRDefault="00B1302F" w:rsidP="0091696D">
                  <w:pPr>
                    <w:framePr w:hSpace="141" w:wrap="around" w:vAnchor="text" w:hAnchor="page" w:x="868" w:y="308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14:paraId="444D0C15" w14:textId="77777777" w:rsidR="00B1302F" w:rsidRPr="00AF44B2" w:rsidRDefault="00B1302F" w:rsidP="00CA465B">
            <w:pPr>
              <w:rPr>
                <w:rFonts w:cs="Arial"/>
                <w:sz w:val="16"/>
                <w:szCs w:val="16"/>
              </w:rPr>
            </w:pPr>
          </w:p>
        </w:tc>
      </w:tr>
      <w:tr w:rsidR="00B1302F" w:rsidRPr="00D804F7" w14:paraId="53C534E1" w14:textId="77777777" w:rsidTr="00CA465B">
        <w:trPr>
          <w:trHeight w:val="1084"/>
        </w:trPr>
        <w:tc>
          <w:tcPr>
            <w:tcW w:w="92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0832D" w14:textId="77777777" w:rsidR="00B1302F" w:rsidRPr="00D804F7" w:rsidRDefault="00B1302F" w:rsidP="00CA465B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B1302F" w:rsidRPr="0026312F" w14:paraId="251C76F3" w14:textId="77777777" w:rsidTr="00CA465B">
        <w:trPr>
          <w:trHeight w:val="1013"/>
        </w:trPr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A8C48" w14:textId="77777777" w:rsidR="00B1302F" w:rsidRDefault="00B1302F" w:rsidP="00CA465B">
            <w:pPr>
              <w:jc w:val="both"/>
              <w:rPr>
                <w:rFonts w:cs="Arial"/>
                <w:sz w:val="16"/>
                <w:szCs w:val="16"/>
              </w:rPr>
            </w:pPr>
            <w:r w:rsidRPr="00605338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11347941" w14:textId="72D3143E" w:rsidR="00B1302F" w:rsidRPr="00605338" w:rsidRDefault="00B1302F" w:rsidP="00CA465B">
            <w:pPr>
              <w:jc w:val="both"/>
              <w:rPr>
                <w:rFonts w:cs="Arial"/>
                <w:sz w:val="16"/>
                <w:szCs w:val="16"/>
              </w:rPr>
            </w:pPr>
            <w:r w:rsidRPr="00605338">
              <w:rPr>
                <w:rFonts w:cs="Arial"/>
                <w:sz w:val="16"/>
                <w:szCs w:val="16"/>
              </w:rPr>
              <w:t xml:space="preserve">Los recursos federales para educación se asignan </w:t>
            </w:r>
            <w:r w:rsidRPr="00EA1A49">
              <w:rPr>
                <w:rFonts w:cs="Arial"/>
                <w:sz w:val="16"/>
                <w:szCs w:val="16"/>
              </w:rPr>
              <w:t xml:space="preserve">mediante </w:t>
            </w:r>
            <w:r w:rsidR="00EA1A49">
              <w:rPr>
                <w:rFonts w:cs="Arial"/>
                <w:sz w:val="16"/>
                <w:szCs w:val="16"/>
              </w:rPr>
              <w:t>p</w:t>
            </w:r>
            <w:r w:rsidR="00EA1A49" w:rsidRPr="00EA1A49">
              <w:rPr>
                <w:rFonts w:cs="Arial"/>
                <w:sz w:val="16"/>
                <w:szCs w:val="16"/>
              </w:rPr>
              <w:t>rogramas presupuestarios (</w:t>
            </w:r>
            <w:r w:rsidR="00CA1287" w:rsidRPr="00EA1A49">
              <w:rPr>
                <w:rFonts w:cs="Arial"/>
                <w:sz w:val="16"/>
                <w:szCs w:val="16"/>
              </w:rPr>
              <w:t>Pp</w:t>
            </w:r>
            <w:r w:rsidR="00EA1A49" w:rsidRPr="00EA1A49">
              <w:rPr>
                <w:rFonts w:cs="Arial"/>
                <w:sz w:val="16"/>
                <w:szCs w:val="16"/>
              </w:rPr>
              <w:t>)</w:t>
            </w:r>
            <w:r w:rsidR="00614514" w:rsidRPr="00EA1A49">
              <w:rPr>
                <w:rFonts w:cs="Arial"/>
                <w:sz w:val="16"/>
                <w:szCs w:val="16"/>
              </w:rPr>
              <w:t>,</w:t>
            </w:r>
            <w:r w:rsidRPr="00EA1A49">
              <w:rPr>
                <w:rFonts w:cs="Arial"/>
                <w:sz w:val="16"/>
                <w:szCs w:val="16"/>
              </w:rPr>
              <w:t xml:space="preserve"> </w:t>
            </w:r>
            <w:r w:rsidR="00100400" w:rsidRPr="00EA1A49">
              <w:rPr>
                <w:rFonts w:cs="Arial"/>
                <w:sz w:val="16"/>
                <w:szCs w:val="16"/>
              </w:rPr>
              <w:t>los cuales</w:t>
            </w:r>
            <w:r w:rsidRPr="00EA1A49">
              <w:rPr>
                <w:rFonts w:cs="Arial"/>
                <w:sz w:val="16"/>
                <w:szCs w:val="16"/>
              </w:rPr>
              <w:t xml:space="preserve"> están a cargo de distintas dependencias</w:t>
            </w:r>
            <w:r w:rsidR="00B9351D" w:rsidRPr="00EA1A49">
              <w:rPr>
                <w:rFonts w:cs="Arial"/>
                <w:sz w:val="16"/>
                <w:szCs w:val="16"/>
              </w:rPr>
              <w:t>;</w:t>
            </w:r>
            <w:r w:rsidRPr="00EA1A49">
              <w:rPr>
                <w:rFonts w:cs="Arial"/>
                <w:sz w:val="16"/>
                <w:szCs w:val="16"/>
              </w:rPr>
              <w:t xml:space="preserve"> sin </w:t>
            </w:r>
            <w:r w:rsidR="004358BD" w:rsidRPr="00EA1A49">
              <w:rPr>
                <w:rFonts w:cs="Arial"/>
                <w:sz w:val="16"/>
                <w:szCs w:val="16"/>
              </w:rPr>
              <w:t xml:space="preserve">embargo, la SEP administra </w:t>
            </w:r>
            <w:r w:rsidRPr="00EA1A49">
              <w:rPr>
                <w:rFonts w:cs="Arial"/>
                <w:sz w:val="16"/>
                <w:szCs w:val="16"/>
              </w:rPr>
              <w:t xml:space="preserve">la mayor parte de </w:t>
            </w:r>
            <w:r w:rsidR="004358BD" w:rsidRPr="00EA1A49">
              <w:rPr>
                <w:rFonts w:cs="Arial"/>
                <w:sz w:val="16"/>
                <w:szCs w:val="16"/>
              </w:rPr>
              <w:t>é</w:t>
            </w:r>
            <w:r w:rsidRPr="00EA1A49">
              <w:rPr>
                <w:rFonts w:cs="Arial"/>
                <w:sz w:val="16"/>
                <w:szCs w:val="16"/>
              </w:rPr>
              <w:t xml:space="preserve">stos. </w:t>
            </w:r>
            <w:r w:rsidR="00BD2F05" w:rsidRPr="00EA1A49">
              <w:rPr>
                <w:rFonts w:cs="Arial"/>
                <w:sz w:val="16"/>
                <w:szCs w:val="16"/>
              </w:rPr>
              <w:t xml:space="preserve">Los </w:t>
            </w:r>
            <w:r w:rsidR="00100400" w:rsidRPr="00EA1A49">
              <w:rPr>
                <w:rFonts w:cs="Arial"/>
                <w:sz w:val="16"/>
                <w:szCs w:val="16"/>
              </w:rPr>
              <w:t>Pp s</w:t>
            </w:r>
            <w:r w:rsidRPr="00EA1A49">
              <w:rPr>
                <w:rFonts w:cs="Arial"/>
                <w:sz w:val="16"/>
                <w:szCs w:val="16"/>
              </w:rPr>
              <w:t xml:space="preserve">e clasifican en </w:t>
            </w:r>
            <w:r w:rsidR="00CA1287" w:rsidRPr="00EA1A49">
              <w:rPr>
                <w:rFonts w:cs="Arial"/>
                <w:sz w:val="16"/>
                <w:szCs w:val="16"/>
              </w:rPr>
              <w:t>PF</w:t>
            </w:r>
            <w:r w:rsidRPr="00EA1A49">
              <w:rPr>
                <w:rFonts w:cs="Arial"/>
                <w:sz w:val="16"/>
                <w:szCs w:val="16"/>
              </w:rPr>
              <w:t xml:space="preserve"> y </w:t>
            </w:r>
            <w:r w:rsidR="00CA1287" w:rsidRPr="00EA1A49">
              <w:rPr>
                <w:rFonts w:cs="Arial"/>
                <w:sz w:val="16"/>
                <w:szCs w:val="16"/>
              </w:rPr>
              <w:t>PGF</w:t>
            </w:r>
            <w:r w:rsidRPr="00EA1A49">
              <w:rPr>
                <w:rFonts w:cs="Arial"/>
                <w:sz w:val="16"/>
                <w:szCs w:val="16"/>
              </w:rPr>
              <w:t>; los primeros representan acciones compensatorias que el gobierno federal implementa mediante convenios con</w:t>
            </w:r>
            <w:r w:rsidRPr="0008141F">
              <w:rPr>
                <w:rFonts w:cs="Arial"/>
                <w:sz w:val="16"/>
                <w:szCs w:val="16"/>
              </w:rPr>
              <w:t xml:space="preserve"> los gobiernos estatales, mientras que los segundos se refieren a los recursos transferidos a las entidades federativas </w:t>
            </w:r>
            <w:r w:rsidR="00F53896" w:rsidRPr="0008141F">
              <w:rPr>
                <w:rFonts w:cs="Arial"/>
                <w:sz w:val="16"/>
                <w:szCs w:val="16"/>
              </w:rPr>
              <w:t>por medio</w:t>
            </w:r>
            <w:r w:rsidRPr="0008141F">
              <w:rPr>
                <w:rFonts w:cs="Arial"/>
                <w:sz w:val="16"/>
                <w:szCs w:val="16"/>
              </w:rPr>
              <w:t xml:space="preserve"> de los fondos del </w:t>
            </w:r>
            <w:r w:rsidR="0091696D">
              <w:rPr>
                <w:rFonts w:cs="Arial"/>
                <w:sz w:val="16"/>
                <w:szCs w:val="16"/>
              </w:rPr>
              <w:t>R</w:t>
            </w:r>
            <w:r w:rsidRPr="0008141F">
              <w:rPr>
                <w:rFonts w:cs="Arial"/>
                <w:sz w:val="16"/>
                <w:szCs w:val="16"/>
              </w:rPr>
              <w:t>amo 33</w:t>
            </w:r>
            <w:r w:rsidRPr="0008141F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08141F">
              <w:rPr>
                <w:rFonts w:cs="Arial"/>
                <w:sz w:val="16"/>
                <w:szCs w:val="16"/>
              </w:rPr>
              <w:t xml:space="preserve"> (FAM, FAETA y FONE), para mantener en operación los centros de educación obligatoria, principalmente de educación básica.</w:t>
            </w:r>
            <w:r w:rsidR="000A4EC2" w:rsidRPr="0008141F">
              <w:rPr>
                <w:rFonts w:cs="Arial"/>
                <w:sz w:val="16"/>
                <w:szCs w:val="16"/>
              </w:rPr>
              <w:t xml:space="preserve"> Desde </w:t>
            </w:r>
            <w:r w:rsidRPr="0008141F">
              <w:rPr>
                <w:rFonts w:cs="Arial"/>
                <w:sz w:val="16"/>
                <w:szCs w:val="16"/>
              </w:rPr>
              <w:t xml:space="preserve">2013 el Estado mexicano </w:t>
            </w:r>
            <w:r w:rsidR="000A4EC2" w:rsidRPr="0008141F">
              <w:rPr>
                <w:rFonts w:cs="Arial"/>
                <w:sz w:val="16"/>
                <w:szCs w:val="16"/>
              </w:rPr>
              <w:t>está</w:t>
            </w:r>
            <w:r w:rsidRPr="0008141F">
              <w:rPr>
                <w:rFonts w:cs="Arial"/>
                <w:sz w:val="16"/>
                <w:szCs w:val="16"/>
              </w:rPr>
              <w:t xml:space="preserve"> oblig</w:t>
            </w:r>
            <w:r w:rsidR="000A4EC2" w:rsidRPr="0008141F">
              <w:rPr>
                <w:rFonts w:cs="Arial"/>
                <w:sz w:val="16"/>
                <w:szCs w:val="16"/>
              </w:rPr>
              <w:t>ado</w:t>
            </w:r>
            <w:r w:rsidRPr="0008141F">
              <w:rPr>
                <w:rFonts w:cs="Arial"/>
                <w:sz w:val="16"/>
                <w:szCs w:val="16"/>
              </w:rPr>
              <w:t xml:space="preserve"> a proporcionar </w:t>
            </w:r>
            <w:r w:rsidR="00DB351D" w:rsidRPr="0008141F">
              <w:rPr>
                <w:rFonts w:cs="Arial"/>
                <w:sz w:val="16"/>
                <w:szCs w:val="16"/>
              </w:rPr>
              <w:t>—</w:t>
            </w:r>
            <w:r w:rsidRPr="0008141F">
              <w:rPr>
                <w:rFonts w:cs="Arial"/>
                <w:sz w:val="16"/>
                <w:szCs w:val="16"/>
              </w:rPr>
              <w:t>además de la educación básica</w:t>
            </w:r>
            <w:r w:rsidR="00DB351D" w:rsidRPr="0008141F">
              <w:rPr>
                <w:rFonts w:cs="Arial"/>
                <w:sz w:val="16"/>
                <w:szCs w:val="16"/>
              </w:rPr>
              <w:t>—</w:t>
            </w:r>
            <w:r w:rsidRPr="0008141F">
              <w:rPr>
                <w:rFonts w:cs="Arial"/>
                <w:sz w:val="16"/>
                <w:szCs w:val="16"/>
              </w:rPr>
              <w:t xml:space="preserve"> servicios de </w:t>
            </w:r>
            <w:r w:rsidR="00CA1287" w:rsidRPr="0008141F">
              <w:rPr>
                <w:rFonts w:cs="Arial"/>
                <w:sz w:val="16"/>
                <w:szCs w:val="16"/>
              </w:rPr>
              <w:t>EMS</w:t>
            </w:r>
            <w:r w:rsidRPr="0008141F">
              <w:rPr>
                <w:rFonts w:cs="Arial"/>
                <w:sz w:val="16"/>
                <w:szCs w:val="16"/>
              </w:rPr>
              <w:t xml:space="preserve"> (</w:t>
            </w:r>
            <w:r w:rsidR="00DB351D" w:rsidRPr="0008141F">
              <w:rPr>
                <w:rFonts w:cs="Arial"/>
                <w:sz w:val="16"/>
                <w:szCs w:val="16"/>
              </w:rPr>
              <w:t xml:space="preserve">Decreto, </w:t>
            </w:r>
            <w:r w:rsidRPr="0008141F">
              <w:rPr>
                <w:rFonts w:cs="Arial"/>
                <w:sz w:val="16"/>
                <w:szCs w:val="16"/>
              </w:rPr>
              <w:t>DOF, 2012, 9 de febrero). Esta nueva atribución representa un gran reto para las autoridades educativas</w:t>
            </w:r>
            <w:r w:rsidR="000A4EC2" w:rsidRPr="0008141F">
              <w:rPr>
                <w:rFonts w:cs="Arial"/>
                <w:sz w:val="16"/>
                <w:szCs w:val="16"/>
              </w:rPr>
              <w:t xml:space="preserve">, ya que, </w:t>
            </w:r>
            <w:r w:rsidRPr="0008141F">
              <w:rPr>
                <w:rFonts w:cs="Arial"/>
                <w:sz w:val="16"/>
                <w:szCs w:val="16"/>
              </w:rPr>
              <w:t>entre otros aspectos, implica movilizar un monto importante de recursos para afrontarl</w:t>
            </w:r>
            <w:r w:rsidR="000A4EC2" w:rsidRPr="0008141F">
              <w:rPr>
                <w:rFonts w:cs="Arial"/>
                <w:sz w:val="16"/>
                <w:szCs w:val="16"/>
              </w:rPr>
              <w:t>a</w:t>
            </w:r>
            <w:r w:rsidRPr="0008141F">
              <w:rPr>
                <w:rFonts w:cs="Arial"/>
                <w:sz w:val="16"/>
                <w:szCs w:val="16"/>
              </w:rPr>
              <w:t>. Con recursos limitados y con nuevas atribuciones</w:t>
            </w:r>
            <w:r w:rsidRPr="009249CD">
              <w:rPr>
                <w:rFonts w:cs="Arial"/>
                <w:sz w:val="16"/>
                <w:szCs w:val="16"/>
              </w:rPr>
              <w:t>, el Estado no sólo tiene que continuar prestando los demás tipos y niveles educativos, sino que también tiene que garantizar que la educación obligatoria sea de calidad.</w:t>
            </w:r>
          </w:p>
        </w:tc>
      </w:tr>
      <w:tr w:rsidR="00B1302F" w:rsidRPr="0026312F" w14:paraId="23543294" w14:textId="77777777" w:rsidTr="00CA465B">
        <w:trPr>
          <w:trHeight w:val="543"/>
        </w:trPr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14EE" w14:textId="77777777" w:rsidR="00B1302F" w:rsidRPr="00605338" w:rsidRDefault="00B1302F" w:rsidP="00CA465B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605338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7A8BC154" w14:textId="0E77F363" w:rsidR="00B1302F" w:rsidRPr="00605338" w:rsidRDefault="00B1302F" w:rsidP="00CA465B">
            <w:pPr>
              <w:jc w:val="both"/>
              <w:rPr>
                <w:rFonts w:cs="Arial"/>
                <w:sz w:val="16"/>
                <w:szCs w:val="16"/>
              </w:rPr>
            </w:pPr>
            <w:r w:rsidRPr="00605338">
              <w:rPr>
                <w:rFonts w:cs="Arial"/>
                <w:sz w:val="16"/>
                <w:szCs w:val="16"/>
              </w:rPr>
              <w:t>Muestra el monto de recursos federales destinado a proporcionar subsidios, prestar y proveer servicios públicos, evaluar, regular, mejorar procesos administrativos, etc</w:t>
            </w:r>
            <w:r w:rsidR="004358BD">
              <w:rPr>
                <w:rFonts w:cs="Arial"/>
                <w:sz w:val="16"/>
                <w:szCs w:val="16"/>
              </w:rPr>
              <w:t>.</w:t>
            </w:r>
            <w:r w:rsidRPr="00605338">
              <w:rPr>
                <w:rFonts w:cs="Arial"/>
                <w:sz w:val="16"/>
                <w:szCs w:val="16"/>
              </w:rPr>
              <w:t xml:space="preserve"> (</w:t>
            </w:r>
            <w:r w:rsidR="00CA1287">
              <w:rPr>
                <w:rFonts w:cs="Arial"/>
                <w:sz w:val="16"/>
                <w:szCs w:val="16"/>
              </w:rPr>
              <w:t>PF</w:t>
            </w:r>
            <w:r w:rsidRPr="00605338">
              <w:rPr>
                <w:rFonts w:cs="Arial"/>
                <w:sz w:val="16"/>
                <w:szCs w:val="16"/>
              </w:rPr>
              <w:t>)</w:t>
            </w:r>
            <w:r w:rsidR="00FB4C30">
              <w:rPr>
                <w:rFonts w:cs="Arial"/>
                <w:sz w:val="16"/>
                <w:szCs w:val="16"/>
              </w:rPr>
              <w:t>, así como</w:t>
            </w:r>
            <w:r w:rsidRPr="00605338">
              <w:rPr>
                <w:rFonts w:cs="Arial"/>
                <w:sz w:val="16"/>
                <w:szCs w:val="16"/>
              </w:rPr>
              <w:t xml:space="preserve"> el monto de recursos para mantener en operación los centros de educación </w:t>
            </w:r>
            <w:r>
              <w:rPr>
                <w:rFonts w:cs="Arial"/>
                <w:sz w:val="16"/>
                <w:szCs w:val="16"/>
              </w:rPr>
              <w:t>obligatoria</w:t>
            </w:r>
            <w:r w:rsidRPr="00605338">
              <w:rPr>
                <w:rFonts w:cs="Arial"/>
                <w:sz w:val="16"/>
                <w:szCs w:val="16"/>
              </w:rPr>
              <w:t xml:space="preserve"> (</w:t>
            </w:r>
            <w:r w:rsidR="00CA1287">
              <w:rPr>
                <w:rFonts w:cs="Arial"/>
                <w:sz w:val="16"/>
                <w:szCs w:val="16"/>
              </w:rPr>
              <w:t>PGF</w:t>
            </w:r>
            <w:r w:rsidRPr="00605338">
              <w:rPr>
                <w:rFonts w:cs="Arial"/>
                <w:sz w:val="16"/>
                <w:szCs w:val="16"/>
              </w:rPr>
              <w:t>)</w:t>
            </w:r>
            <w:r>
              <w:rPr>
                <w:rFonts w:cs="Arial"/>
                <w:sz w:val="16"/>
                <w:szCs w:val="16"/>
              </w:rPr>
              <w:t>, principalmente de educación básica</w:t>
            </w:r>
            <w:r w:rsidRPr="00605338">
              <w:rPr>
                <w:rFonts w:cs="Arial"/>
                <w:sz w:val="16"/>
                <w:szCs w:val="16"/>
              </w:rPr>
              <w:t xml:space="preserve">. </w:t>
            </w:r>
            <w:r>
              <w:rPr>
                <w:rFonts w:cs="Arial"/>
                <w:sz w:val="16"/>
                <w:szCs w:val="16"/>
              </w:rPr>
              <w:t xml:space="preserve">Esta información se presenta según destino del gasto, por lo tanto, es posible comparar </w:t>
            </w:r>
            <w:r w:rsidR="00FB4C30">
              <w:rPr>
                <w:rFonts w:cs="Arial"/>
                <w:sz w:val="16"/>
                <w:szCs w:val="16"/>
              </w:rPr>
              <w:t xml:space="preserve">los </w:t>
            </w:r>
            <w:r>
              <w:rPr>
                <w:rFonts w:cs="Arial"/>
                <w:sz w:val="16"/>
                <w:szCs w:val="16"/>
              </w:rPr>
              <w:t>monto</w:t>
            </w:r>
            <w:r w:rsidR="00FB4C30">
              <w:rPr>
                <w:rFonts w:cs="Arial"/>
                <w:sz w:val="16"/>
                <w:szCs w:val="16"/>
              </w:rPr>
              <w:t>s asignados</w:t>
            </w:r>
            <w:r w:rsidR="00F53896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a </w:t>
            </w:r>
            <w:r w:rsidR="004358BD">
              <w:rPr>
                <w:rFonts w:cs="Arial"/>
                <w:sz w:val="16"/>
                <w:szCs w:val="16"/>
              </w:rPr>
              <w:t>EMS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FB4C30">
              <w:rPr>
                <w:rFonts w:cs="Arial"/>
                <w:sz w:val="16"/>
                <w:szCs w:val="16"/>
              </w:rPr>
              <w:t xml:space="preserve">y </w:t>
            </w:r>
            <w:r>
              <w:rPr>
                <w:rFonts w:cs="Arial"/>
                <w:sz w:val="16"/>
                <w:szCs w:val="16"/>
              </w:rPr>
              <w:t>educación básica.</w:t>
            </w:r>
          </w:p>
          <w:p w14:paraId="5E84AFAC" w14:textId="052F0FBE" w:rsidR="00B1302F" w:rsidRPr="00605338" w:rsidRDefault="00B1302F" w:rsidP="00CA465B">
            <w:pPr>
              <w:jc w:val="both"/>
              <w:rPr>
                <w:rFonts w:cs="Arial"/>
                <w:sz w:val="16"/>
                <w:szCs w:val="16"/>
              </w:rPr>
            </w:pPr>
            <w:r w:rsidRPr="00605338">
              <w:rPr>
                <w:rFonts w:cs="Arial"/>
                <w:sz w:val="16"/>
                <w:szCs w:val="16"/>
              </w:rPr>
              <w:t>Al presentarse esta información por tipo de gasto (corriente e inversión)</w:t>
            </w:r>
            <w:r w:rsidR="00FB4C30">
              <w:rPr>
                <w:rFonts w:cs="Arial"/>
                <w:sz w:val="16"/>
                <w:szCs w:val="16"/>
              </w:rPr>
              <w:t>, es posible</w:t>
            </w:r>
            <w:r w:rsidRPr="00605338">
              <w:rPr>
                <w:rFonts w:cs="Arial"/>
                <w:sz w:val="16"/>
                <w:szCs w:val="16"/>
              </w:rPr>
              <w:t xml:space="preserve"> comparar el costo de operación de los </w:t>
            </w:r>
            <w:r w:rsidR="00CA1287">
              <w:rPr>
                <w:rFonts w:cs="Arial"/>
                <w:sz w:val="16"/>
                <w:szCs w:val="16"/>
              </w:rPr>
              <w:t>PF</w:t>
            </w:r>
            <w:r w:rsidRPr="00605338">
              <w:rPr>
                <w:rFonts w:cs="Arial"/>
                <w:sz w:val="16"/>
                <w:szCs w:val="16"/>
              </w:rPr>
              <w:t xml:space="preserve"> respecto del de los </w:t>
            </w:r>
            <w:r w:rsidR="00CA1287">
              <w:rPr>
                <w:rFonts w:cs="Arial"/>
                <w:sz w:val="16"/>
                <w:szCs w:val="16"/>
              </w:rPr>
              <w:t>PGF</w:t>
            </w:r>
            <w:r w:rsidRPr="00605338">
              <w:rPr>
                <w:rFonts w:cs="Arial"/>
                <w:sz w:val="16"/>
                <w:szCs w:val="16"/>
              </w:rPr>
              <w:t>.</w:t>
            </w:r>
          </w:p>
        </w:tc>
      </w:tr>
      <w:tr w:rsidR="00B1302F" w:rsidRPr="0026312F" w14:paraId="5F58F244" w14:textId="77777777" w:rsidTr="00CA465B">
        <w:trPr>
          <w:trHeight w:val="356"/>
        </w:trPr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0A1D" w14:textId="11DB4F4F" w:rsidR="00B1302F" w:rsidRPr="00605338" w:rsidRDefault="00B1302F" w:rsidP="00CA465B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605338">
              <w:rPr>
                <w:rFonts w:cs="Arial"/>
                <w:b/>
                <w:sz w:val="16"/>
                <w:szCs w:val="16"/>
              </w:rPr>
              <w:t>Ofrece elementos para evaluar la</w:t>
            </w:r>
            <w:r w:rsidR="00EA1A49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05338">
              <w:rPr>
                <w:rFonts w:cs="Arial"/>
                <w:b/>
                <w:sz w:val="16"/>
                <w:szCs w:val="16"/>
              </w:rPr>
              <w:t>siguiente dimensi</w:t>
            </w:r>
            <w:r w:rsidR="00EA1A49">
              <w:rPr>
                <w:rFonts w:cs="Arial"/>
                <w:b/>
                <w:sz w:val="16"/>
                <w:szCs w:val="16"/>
              </w:rPr>
              <w:t xml:space="preserve">ón </w:t>
            </w:r>
            <w:r w:rsidRPr="00605338">
              <w:rPr>
                <w:rFonts w:cs="Arial"/>
                <w:b/>
                <w:sz w:val="16"/>
                <w:szCs w:val="16"/>
              </w:rPr>
              <w:t>de la calidad educativa</w:t>
            </w:r>
          </w:p>
          <w:p w14:paraId="5801FD22" w14:textId="6826F32B" w:rsidR="00B1302F" w:rsidRPr="00605338" w:rsidRDefault="00B1302F" w:rsidP="00CA465B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605338">
              <w:rPr>
                <w:rFonts w:cs="Arial"/>
                <w:sz w:val="16"/>
                <w:szCs w:val="16"/>
              </w:rPr>
              <w:t>Eficiencia</w:t>
            </w:r>
          </w:p>
        </w:tc>
      </w:tr>
      <w:tr w:rsidR="00B1302F" w:rsidRPr="0026312F" w14:paraId="612A782C" w14:textId="77777777" w:rsidTr="00CA465B">
        <w:trPr>
          <w:trHeight w:val="708"/>
        </w:trPr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310A3" w14:textId="77777777" w:rsidR="00B1302F" w:rsidRPr="00605338" w:rsidRDefault="00B1302F" w:rsidP="00CA465B">
            <w:pPr>
              <w:rPr>
                <w:rFonts w:cs="Arial"/>
                <w:b/>
                <w:sz w:val="16"/>
                <w:szCs w:val="16"/>
              </w:rPr>
            </w:pPr>
            <w:r w:rsidRPr="00605338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77B239AB" w14:textId="77777777" w:rsidR="00B1302F" w:rsidRPr="00605338" w:rsidRDefault="00B1302F" w:rsidP="00CA465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  <w:r w:rsidRPr="00605338">
              <w:rPr>
                <w:rFonts w:cs="Arial"/>
                <w:sz w:val="16"/>
                <w:szCs w:val="16"/>
              </w:rPr>
              <w:t>rograma presupuestario</w:t>
            </w:r>
            <w:r>
              <w:rPr>
                <w:rFonts w:cs="Arial"/>
                <w:sz w:val="16"/>
                <w:szCs w:val="16"/>
              </w:rPr>
              <w:t>, destino</w:t>
            </w:r>
            <w:r w:rsidRPr="00605338">
              <w:rPr>
                <w:rFonts w:cs="Arial"/>
                <w:sz w:val="16"/>
                <w:szCs w:val="16"/>
              </w:rPr>
              <w:t xml:space="preserve"> y tipo de gasto.</w:t>
            </w:r>
          </w:p>
          <w:p w14:paraId="0B5B4A16" w14:textId="77777777" w:rsidR="00B1302F" w:rsidRPr="00605338" w:rsidRDefault="00B1302F" w:rsidP="00CA465B">
            <w:pPr>
              <w:rPr>
                <w:rFonts w:cs="Arial"/>
                <w:sz w:val="16"/>
                <w:szCs w:val="16"/>
              </w:rPr>
            </w:pPr>
          </w:p>
          <w:p w14:paraId="5936A650" w14:textId="4640148E" w:rsidR="00B1302F" w:rsidRPr="007432C2" w:rsidRDefault="006D0490" w:rsidP="007432C2">
            <w:pPr>
              <w:pStyle w:val="Prrafodelista"/>
              <w:numPr>
                <w:ilvl w:val="0"/>
                <w:numId w:val="2"/>
              </w:numPr>
              <w:ind w:left="227" w:hanging="227"/>
              <w:rPr>
                <w:rFonts w:cs="Arial"/>
                <w:sz w:val="16"/>
                <w:szCs w:val="16"/>
              </w:rPr>
            </w:pPr>
            <w:r w:rsidRPr="007432C2">
              <w:rPr>
                <w:rFonts w:cs="Arial"/>
                <w:b/>
                <w:sz w:val="16"/>
                <w:szCs w:val="16"/>
              </w:rPr>
              <w:t xml:space="preserve">Máximo </w:t>
            </w:r>
            <w:r w:rsidRPr="0008141F">
              <w:rPr>
                <w:rFonts w:cs="Arial"/>
                <w:b/>
                <w:sz w:val="16"/>
                <w:szCs w:val="16"/>
              </w:rPr>
              <w:t xml:space="preserve">nivel </w:t>
            </w:r>
            <w:r w:rsidR="00B1302F" w:rsidRPr="0008141F">
              <w:rPr>
                <w:rFonts w:cs="Arial"/>
                <w:b/>
                <w:sz w:val="16"/>
                <w:szCs w:val="16"/>
              </w:rPr>
              <w:t>de desagregación</w:t>
            </w:r>
            <w:r w:rsidRPr="00296F4A">
              <w:rPr>
                <w:rFonts w:cs="Arial"/>
                <w:sz w:val="16"/>
                <w:szCs w:val="16"/>
              </w:rPr>
              <w:t>:</w:t>
            </w:r>
            <w:r w:rsidRPr="007432C2">
              <w:rPr>
                <w:rFonts w:cs="Arial"/>
                <w:sz w:val="16"/>
                <w:szCs w:val="16"/>
              </w:rPr>
              <w:t xml:space="preserve"> n</w:t>
            </w:r>
            <w:r w:rsidR="00B1302F" w:rsidRPr="007432C2">
              <w:rPr>
                <w:rFonts w:cs="Arial"/>
                <w:sz w:val="16"/>
                <w:szCs w:val="16"/>
              </w:rPr>
              <w:t>acional</w:t>
            </w:r>
          </w:p>
          <w:p w14:paraId="209729B3" w14:textId="77777777" w:rsidR="00B1302F" w:rsidRPr="00605338" w:rsidRDefault="00B1302F" w:rsidP="00CA465B">
            <w:pPr>
              <w:spacing w:before="120" w:after="60"/>
              <w:ind w:right="108"/>
              <w:rPr>
                <w:rFonts w:cs="Arial"/>
                <w:b/>
                <w:sz w:val="16"/>
                <w:szCs w:val="16"/>
              </w:rPr>
            </w:pPr>
            <w:r w:rsidRPr="00605338">
              <w:rPr>
                <w:rFonts w:cs="Arial"/>
                <w:b/>
                <w:sz w:val="16"/>
                <w:szCs w:val="16"/>
              </w:rPr>
              <w:t>Fuentes de información</w:t>
            </w:r>
          </w:p>
          <w:p w14:paraId="63D9ED69" w14:textId="06E6B7B0" w:rsidR="00373EF7" w:rsidRPr="00DB351D" w:rsidRDefault="00373EF7" w:rsidP="00CA465B">
            <w:pPr>
              <w:ind w:right="-70"/>
              <w:jc w:val="both"/>
              <w:rPr>
                <w:rFonts w:cs="Arial"/>
                <w:sz w:val="16"/>
                <w:szCs w:val="16"/>
                <w:lang w:val="es-MX"/>
              </w:rPr>
            </w:pPr>
            <w:r w:rsidRPr="007C1F48">
              <w:rPr>
                <w:rFonts w:cs="Arial"/>
                <w:caps/>
                <w:sz w:val="16"/>
                <w:szCs w:val="16"/>
                <w:lang w:val="es-MX"/>
              </w:rPr>
              <w:t>Inegi</w:t>
            </w:r>
            <w:r>
              <w:rPr>
                <w:rFonts w:cs="Arial"/>
                <w:smallCaps/>
                <w:sz w:val="16"/>
                <w:szCs w:val="16"/>
                <w:lang w:val="es-MX"/>
              </w:rPr>
              <w:t xml:space="preserve"> </w:t>
            </w:r>
            <w:r w:rsidR="001C1B16">
              <w:rPr>
                <w:rFonts w:cs="Arial"/>
                <w:sz w:val="16"/>
                <w:szCs w:val="16"/>
                <w:lang w:val="es-MX"/>
              </w:rPr>
              <w:t>(201</w:t>
            </w:r>
            <w:r w:rsidR="00CA1287">
              <w:rPr>
                <w:rFonts w:cs="Arial"/>
                <w:sz w:val="16"/>
                <w:szCs w:val="16"/>
                <w:lang w:val="es-MX"/>
              </w:rPr>
              <w:t>8</w:t>
            </w:r>
            <w:r w:rsidR="007D133D">
              <w:rPr>
                <w:rFonts w:cs="Arial"/>
                <w:sz w:val="16"/>
                <w:szCs w:val="16"/>
                <w:lang w:val="es-MX"/>
              </w:rPr>
              <w:t>b</w:t>
            </w:r>
            <w:r w:rsidRPr="00DB351D"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Pr="00373EF7">
              <w:rPr>
                <w:rFonts w:cs="Arial"/>
                <w:sz w:val="16"/>
                <w:szCs w:val="16"/>
                <w:lang w:val="es-MX"/>
              </w:rPr>
              <w:t xml:space="preserve">Índice </w:t>
            </w:r>
            <w:r w:rsidR="00E4666C">
              <w:rPr>
                <w:rFonts w:cs="Arial"/>
                <w:sz w:val="16"/>
                <w:szCs w:val="16"/>
                <w:lang w:val="es-MX"/>
              </w:rPr>
              <w:t xml:space="preserve">Nacional </w:t>
            </w:r>
            <w:r w:rsidRPr="00373EF7">
              <w:rPr>
                <w:rFonts w:cs="Arial"/>
                <w:sz w:val="16"/>
                <w:szCs w:val="16"/>
                <w:lang w:val="es-MX"/>
              </w:rPr>
              <w:t xml:space="preserve">de Precios </w:t>
            </w:r>
            <w:r w:rsidR="00E4666C">
              <w:rPr>
                <w:rFonts w:cs="Arial"/>
                <w:sz w:val="16"/>
                <w:szCs w:val="16"/>
                <w:lang w:val="es-MX"/>
              </w:rPr>
              <w:t>al Consumidor</w:t>
            </w:r>
            <w:r>
              <w:rPr>
                <w:rFonts w:cs="Arial"/>
                <w:sz w:val="16"/>
                <w:szCs w:val="16"/>
                <w:lang w:val="es-MX"/>
              </w:rPr>
              <w:t>.</w:t>
            </w:r>
            <w:r w:rsidRPr="00DB351D">
              <w:rPr>
                <w:rFonts w:cs="Arial"/>
                <w:sz w:val="16"/>
                <w:szCs w:val="16"/>
                <w:lang w:val="es-MX"/>
              </w:rPr>
              <w:t xml:space="preserve"> Base 201</w:t>
            </w:r>
            <w:r w:rsidR="00CA1287">
              <w:rPr>
                <w:rFonts w:cs="Arial"/>
                <w:sz w:val="16"/>
                <w:szCs w:val="16"/>
                <w:lang w:val="es-MX"/>
              </w:rPr>
              <w:t>8</w:t>
            </w:r>
            <w:r w:rsidRPr="00DB351D">
              <w:rPr>
                <w:rFonts w:cs="Arial"/>
                <w:sz w:val="16"/>
                <w:szCs w:val="16"/>
                <w:lang w:val="es-MX"/>
              </w:rPr>
              <w:t>.</w:t>
            </w:r>
          </w:p>
          <w:p w14:paraId="62277B50" w14:textId="09F5463F" w:rsidR="00B1302F" w:rsidRPr="00DB351D" w:rsidRDefault="001C1B16" w:rsidP="00CA465B">
            <w:pPr>
              <w:ind w:right="-70"/>
              <w:jc w:val="both"/>
              <w:rPr>
                <w:rFonts w:cs="Arial"/>
                <w:sz w:val="16"/>
                <w:szCs w:val="16"/>
                <w:lang w:val="es-MX"/>
              </w:rPr>
            </w:pPr>
            <w:r>
              <w:rPr>
                <w:rFonts w:cs="Arial"/>
                <w:sz w:val="16"/>
                <w:szCs w:val="16"/>
                <w:lang w:val="es-MX"/>
              </w:rPr>
              <w:t>SHCP (201</w:t>
            </w:r>
            <w:r w:rsidR="00CA1287">
              <w:rPr>
                <w:rFonts w:cs="Arial"/>
                <w:sz w:val="16"/>
                <w:szCs w:val="16"/>
                <w:lang w:val="es-MX"/>
              </w:rPr>
              <w:t>8</w:t>
            </w:r>
            <w:r w:rsidR="00B1302F" w:rsidRPr="00605338"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="00B1302F" w:rsidRPr="00373EF7">
              <w:rPr>
                <w:rFonts w:cs="Arial"/>
                <w:sz w:val="16"/>
                <w:szCs w:val="16"/>
                <w:lang w:val="es-MX"/>
              </w:rPr>
              <w:t>Cuenta de la Ha</w:t>
            </w:r>
            <w:r w:rsidR="00CA1287">
              <w:rPr>
                <w:rFonts w:cs="Arial"/>
                <w:sz w:val="16"/>
                <w:szCs w:val="16"/>
                <w:lang w:val="es-MX"/>
              </w:rPr>
              <w:t>cienda Pública Federal 2008-2017</w:t>
            </w:r>
            <w:r w:rsidR="00B1302F" w:rsidRPr="00DB351D">
              <w:rPr>
                <w:rFonts w:cs="Arial"/>
                <w:sz w:val="16"/>
                <w:szCs w:val="16"/>
                <w:lang w:val="es-MX"/>
              </w:rPr>
              <w:t xml:space="preserve">. </w:t>
            </w:r>
          </w:p>
          <w:p w14:paraId="1F6E7917" w14:textId="77777777" w:rsidR="00B1302F" w:rsidRPr="000A4EC2" w:rsidRDefault="00B1302F" w:rsidP="00CA465B">
            <w:pPr>
              <w:ind w:right="-70"/>
              <w:jc w:val="both"/>
              <w:rPr>
                <w:rFonts w:cs="Arial"/>
                <w:sz w:val="16"/>
                <w:szCs w:val="16"/>
                <w:lang w:val="es-MX"/>
              </w:rPr>
            </w:pPr>
          </w:p>
          <w:p w14:paraId="6C2837E7" w14:textId="77777777" w:rsidR="00B1302F" w:rsidRPr="00605338" w:rsidRDefault="00B1302F" w:rsidP="00CA465B">
            <w:pPr>
              <w:ind w:right="-70"/>
              <w:jc w:val="both"/>
              <w:rPr>
                <w:rFonts w:cs="Arial"/>
                <w:b/>
                <w:bCs/>
                <w:iCs/>
                <w:sz w:val="16"/>
                <w:szCs w:val="16"/>
              </w:rPr>
            </w:pPr>
            <w:r w:rsidRPr="00605338">
              <w:rPr>
                <w:rFonts w:cs="Arial"/>
                <w:b/>
                <w:bCs/>
                <w:iCs/>
                <w:sz w:val="16"/>
                <w:szCs w:val="16"/>
              </w:rPr>
              <w:t>Nota</w:t>
            </w:r>
            <w:r w:rsidR="00FB4C30">
              <w:rPr>
                <w:rFonts w:cs="Arial"/>
                <w:b/>
                <w:bCs/>
                <w:iCs/>
                <w:sz w:val="16"/>
                <w:szCs w:val="16"/>
              </w:rPr>
              <w:t>s</w:t>
            </w:r>
          </w:p>
          <w:p w14:paraId="5DF57CDF" w14:textId="455A92A3" w:rsidR="00B1302F" w:rsidRPr="00605338" w:rsidRDefault="00B1302F" w:rsidP="00CA465B">
            <w:pPr>
              <w:pStyle w:val="Encabezado"/>
              <w:tabs>
                <w:tab w:val="left" w:pos="1740"/>
                <w:tab w:val="left" w:pos="1980"/>
              </w:tabs>
              <w:jc w:val="both"/>
              <w:rPr>
                <w:rFonts w:cs="Arial"/>
                <w:bCs/>
                <w:iCs/>
                <w:sz w:val="12"/>
                <w:szCs w:val="16"/>
              </w:rPr>
            </w:pPr>
            <w:r w:rsidRPr="00373EF7">
              <w:rPr>
                <w:rFonts w:cs="Arial"/>
                <w:bCs/>
                <w:iCs/>
                <w:sz w:val="12"/>
                <w:szCs w:val="16"/>
                <w:vertAlign w:val="superscript"/>
              </w:rPr>
              <w:t xml:space="preserve">1 </w:t>
            </w:r>
            <w:r w:rsidRPr="00605338">
              <w:rPr>
                <w:rFonts w:cs="Arial"/>
                <w:bCs/>
                <w:iCs/>
                <w:sz w:val="12"/>
                <w:szCs w:val="16"/>
              </w:rPr>
              <w:t>Los valores nominales fueron deflactados mediante el INP</w:t>
            </w:r>
            <w:r w:rsidR="00E4666C">
              <w:rPr>
                <w:rFonts w:cs="Arial"/>
                <w:bCs/>
                <w:iCs/>
                <w:sz w:val="12"/>
                <w:szCs w:val="16"/>
              </w:rPr>
              <w:t>C</w:t>
            </w:r>
            <w:r w:rsidRPr="00605338">
              <w:rPr>
                <w:rFonts w:cs="Arial"/>
                <w:bCs/>
                <w:iCs/>
                <w:sz w:val="12"/>
                <w:szCs w:val="16"/>
              </w:rPr>
              <w:t>. Se anualizó el INP</w:t>
            </w:r>
            <w:r w:rsidR="00E4666C">
              <w:rPr>
                <w:rFonts w:cs="Arial"/>
                <w:bCs/>
                <w:iCs/>
                <w:sz w:val="12"/>
                <w:szCs w:val="16"/>
              </w:rPr>
              <w:t>C</w:t>
            </w:r>
            <w:r w:rsidRPr="00605338">
              <w:rPr>
                <w:rFonts w:cs="Arial"/>
                <w:bCs/>
                <w:iCs/>
                <w:sz w:val="12"/>
                <w:szCs w:val="16"/>
              </w:rPr>
              <w:t xml:space="preserve"> mensual y se tomó como referencia el promedio</w:t>
            </w:r>
            <w:r w:rsidR="00DC247B">
              <w:rPr>
                <w:rFonts w:cs="Arial"/>
                <w:bCs/>
                <w:iCs/>
                <w:sz w:val="12"/>
                <w:szCs w:val="16"/>
              </w:rPr>
              <w:t xml:space="preserve"> de 2012</w:t>
            </w:r>
            <w:r w:rsidRPr="00605338">
              <w:rPr>
                <w:rFonts w:cs="Arial"/>
                <w:bCs/>
                <w:iCs/>
                <w:sz w:val="12"/>
                <w:szCs w:val="16"/>
              </w:rPr>
              <w:t>.</w:t>
            </w:r>
          </w:p>
          <w:p w14:paraId="2DC45CD7" w14:textId="3A61B07D" w:rsidR="00B1302F" w:rsidRPr="007C1F48" w:rsidRDefault="00B1302F" w:rsidP="009E727B">
            <w:pPr>
              <w:pStyle w:val="Encabezado"/>
              <w:tabs>
                <w:tab w:val="left" w:pos="1740"/>
                <w:tab w:val="left" w:pos="1980"/>
              </w:tabs>
              <w:jc w:val="both"/>
              <w:rPr>
                <w:rFonts w:cs="Arial"/>
                <w:bCs/>
                <w:iCs/>
                <w:sz w:val="12"/>
                <w:szCs w:val="16"/>
              </w:rPr>
            </w:pPr>
            <w:r w:rsidRPr="00605338">
              <w:rPr>
                <w:rFonts w:cs="Arial"/>
                <w:bCs/>
                <w:iCs/>
                <w:sz w:val="12"/>
                <w:szCs w:val="16"/>
                <w:vertAlign w:val="superscript"/>
              </w:rPr>
              <w:t xml:space="preserve">2 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>Los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 xml:space="preserve"> 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 xml:space="preserve">recursos del </w:t>
            </w:r>
            <w:r w:rsidR="004358BD">
              <w:rPr>
                <w:rFonts w:cs="Arial"/>
                <w:bCs/>
                <w:iCs/>
                <w:sz w:val="12"/>
                <w:szCs w:val="16"/>
              </w:rPr>
              <w:t xml:space="preserve">PF </w:t>
            </w:r>
            <w:r w:rsidR="009E727B" w:rsidRPr="00EE74CE">
              <w:rPr>
                <w:rFonts w:cs="Arial"/>
                <w:bCs/>
                <w:iCs/>
                <w:sz w:val="12"/>
                <w:szCs w:val="16"/>
              </w:rPr>
              <w:t>25E003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 xml:space="preserve"> </w:t>
            </w:r>
            <w:r w:rsidR="009E727B" w:rsidRPr="00EE74CE">
              <w:rPr>
                <w:rFonts w:cs="Arial"/>
                <w:bCs/>
                <w:iCs/>
                <w:sz w:val="12"/>
                <w:szCs w:val="16"/>
              </w:rPr>
              <w:t>Servicios de educación básica en el D.F.</w:t>
            </w:r>
            <w:r w:rsidR="004358BD">
              <w:rPr>
                <w:rFonts w:cs="Arial"/>
                <w:bCs/>
                <w:iCs/>
                <w:sz w:val="12"/>
                <w:szCs w:val="16"/>
              </w:rPr>
              <w:t>,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 xml:space="preserve"> pertenecientes al </w:t>
            </w:r>
            <w:r w:rsidR="0091696D">
              <w:rPr>
                <w:rFonts w:cs="Arial"/>
                <w:bCs/>
                <w:iCs/>
                <w:sz w:val="12"/>
                <w:szCs w:val="16"/>
              </w:rPr>
              <w:t>R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>amo 25 Previsiones y Aportaciones para los Sistemas de Educación Básica, Normal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>, Tecnológica y de Adultos</w:t>
            </w:r>
            <w:r w:rsidR="004358BD">
              <w:rPr>
                <w:rFonts w:cs="Arial"/>
                <w:bCs/>
                <w:iCs/>
                <w:sz w:val="12"/>
                <w:szCs w:val="16"/>
              </w:rPr>
              <w:t>,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 xml:space="preserve"> no están clasificados como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 xml:space="preserve"> gasto fed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>eralizado y, por lo tanto, no son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 xml:space="preserve"> estrictamente comparable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>s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 xml:space="preserve"> con los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 xml:space="preserve"> recursos de los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 xml:space="preserve"> fondos del </w:t>
            </w:r>
            <w:r w:rsidR="0091696D">
              <w:rPr>
                <w:rFonts w:cs="Arial"/>
                <w:bCs/>
                <w:iCs/>
                <w:sz w:val="12"/>
                <w:szCs w:val="16"/>
              </w:rPr>
              <w:t>R</w:t>
            </w:r>
            <w:bookmarkStart w:id="0" w:name="_GoBack"/>
            <w:bookmarkEnd w:id="0"/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>amo 33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>;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 xml:space="preserve"> sin embargo, debido a que en cierto modo </w:t>
            </w:r>
            <w:r w:rsidR="00EC73A7">
              <w:rPr>
                <w:rFonts w:cs="Arial"/>
                <w:bCs/>
                <w:iCs/>
                <w:sz w:val="12"/>
                <w:szCs w:val="16"/>
              </w:rPr>
              <w:t>estos recursos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 xml:space="preserve"> </w:t>
            </w:r>
            <w:r w:rsidR="00EC73A7">
              <w:rPr>
                <w:rFonts w:cs="Arial"/>
                <w:bCs/>
                <w:iCs/>
                <w:sz w:val="12"/>
                <w:szCs w:val="16"/>
              </w:rPr>
              <w:t xml:space="preserve">son 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 xml:space="preserve">para </w:t>
            </w:r>
            <w:r w:rsidR="00E4666C">
              <w:rPr>
                <w:rFonts w:cs="Arial"/>
                <w:bCs/>
                <w:iCs/>
                <w:sz w:val="12"/>
                <w:szCs w:val="16"/>
              </w:rPr>
              <w:t>la Ciudad de México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 xml:space="preserve"> lo que el 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>FONE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 xml:space="preserve"> es para las entidades federativas, se cuantifica</w:t>
            </w:r>
            <w:r w:rsidR="009E727B">
              <w:rPr>
                <w:rFonts w:cs="Arial"/>
                <w:bCs/>
                <w:iCs/>
                <w:sz w:val="12"/>
                <w:szCs w:val="16"/>
              </w:rPr>
              <w:t>n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 xml:space="preserve"> en el grupo de </w:t>
            </w:r>
            <w:r w:rsidR="004358BD">
              <w:rPr>
                <w:rFonts w:cs="Arial"/>
                <w:bCs/>
                <w:iCs/>
                <w:sz w:val="12"/>
                <w:szCs w:val="16"/>
              </w:rPr>
              <w:t>PGF</w:t>
            </w:r>
            <w:r w:rsidR="009E727B" w:rsidRPr="00605338">
              <w:rPr>
                <w:rFonts w:cs="Arial"/>
                <w:bCs/>
                <w:iCs/>
                <w:sz w:val="12"/>
                <w:szCs w:val="16"/>
              </w:rPr>
              <w:t>.</w:t>
            </w:r>
          </w:p>
        </w:tc>
      </w:tr>
    </w:tbl>
    <w:p w14:paraId="3551288C" w14:textId="7EAFE414" w:rsidR="00BC4F70" w:rsidRDefault="00CA465B" w:rsidP="00BC4F70">
      <w:r>
        <w:rPr>
          <w:rFonts w:cs="Arial"/>
          <w:noProof/>
          <w:sz w:val="16"/>
          <w:szCs w:val="16"/>
          <w:lang w:val="es-419" w:eastAsia="es-419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CCDDB43" wp14:editId="1B40922B">
                <wp:simplePos x="0" y="0"/>
                <wp:positionH relativeFrom="column">
                  <wp:posOffset>-669851</wp:posOffset>
                </wp:positionH>
                <wp:positionV relativeFrom="paragraph">
                  <wp:posOffset>-96328</wp:posOffset>
                </wp:positionV>
                <wp:extent cx="842010" cy="262255"/>
                <wp:effectExtent l="0" t="0" r="15240" b="234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010" cy="262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F2B32AC" w14:textId="77777777" w:rsidR="00CA465B" w:rsidRPr="00EC2A75" w:rsidRDefault="00CA465B" w:rsidP="00CA465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AR03b.2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CDDB43" id="AutoShape 2" o:spid="_x0000_s1026" style="position:absolute;margin-left:-52.75pt;margin-top:-7.6pt;width:66.3pt;height:20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">
                <v:textbox inset="1mm,1mm,1mm,1mm">
                  <w:txbxContent>
                    <w:p w14:paraId="3F2B32AC" w14:textId="77777777" w:rsidR="00CA465B" w:rsidRPr="00EC2A75" w:rsidRDefault="00CA465B" w:rsidP="00CA465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AR03b.2</w:t>
                      </w:r>
                    </w:p>
                  </w:txbxContent>
                </v:textbox>
              </v:roundrect>
            </w:pict>
          </mc:Fallback>
        </mc:AlternateContent>
      </w:r>
      <w:r w:rsidR="000F5B7A">
        <w:rPr>
          <w:rFonts w:cs="Arial"/>
          <w:noProof/>
          <w:sz w:val="16"/>
          <w:szCs w:val="16"/>
          <w:lang w:val="es-419" w:eastAsia="es-419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196DA7D" wp14:editId="3348A442">
                <wp:simplePos x="0" y="0"/>
                <wp:positionH relativeFrom="column">
                  <wp:posOffset>-5957408</wp:posOffset>
                </wp:positionH>
                <wp:positionV relativeFrom="paragraph">
                  <wp:posOffset>-402870</wp:posOffset>
                </wp:positionV>
                <wp:extent cx="842010" cy="262255"/>
                <wp:effectExtent l="0" t="0" r="15240" b="2349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010" cy="262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A26A78B" w14:textId="77777777" w:rsidR="00BC4F70" w:rsidRPr="00EC2A75" w:rsidRDefault="004B33F1" w:rsidP="0035773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AR0</w:t>
                            </w:r>
                            <w:r w:rsidR="00ED290E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CE0A4A">
                              <w:rPr>
                                <w:sz w:val="20"/>
                                <w:szCs w:val="20"/>
                              </w:rPr>
                              <w:t>b.2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96DA7D" id="AutoShape 2" o:spid="_x0000_s1026" style="position:absolute;margin-left:-469.1pt;margin-top:-31.7pt;width:66.3pt;height:20.6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">
                <v:textbox inset="1mm,1mm,1mm,1mm">
                  <w:txbxContent>
                    <w:p w14:paraId="0A26A78B" w14:textId="77777777" w:rsidR="00BC4F70" w:rsidRPr="00EC2A75" w:rsidRDefault="004B33F1" w:rsidP="0035773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AR0</w:t>
                      </w:r>
                      <w:r w:rsidR="00ED290E">
                        <w:rPr>
                          <w:sz w:val="20"/>
                          <w:szCs w:val="20"/>
                        </w:rPr>
                        <w:t>3</w:t>
                      </w:r>
                      <w:r w:rsidR="00CE0A4A">
                        <w:rPr>
                          <w:sz w:val="20"/>
                          <w:szCs w:val="20"/>
                        </w:rPr>
                        <w:t>b.2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58D404E" w14:textId="77777777" w:rsidR="00B1302F" w:rsidRDefault="00B1302F" w:rsidP="003333B5">
      <w:pPr>
        <w:rPr>
          <w:b/>
        </w:rPr>
      </w:pPr>
    </w:p>
    <w:p w14:paraId="16E8A1B7" w14:textId="77777777" w:rsidR="00B1302F" w:rsidRDefault="00B1302F" w:rsidP="003333B5">
      <w:pPr>
        <w:rPr>
          <w:b/>
        </w:rPr>
      </w:pPr>
    </w:p>
    <w:p w14:paraId="7590B7DA" w14:textId="77777777" w:rsidR="00B1302F" w:rsidRDefault="00B1302F" w:rsidP="003333B5">
      <w:pPr>
        <w:rPr>
          <w:b/>
        </w:rPr>
      </w:pPr>
    </w:p>
    <w:p w14:paraId="4BEA263F" w14:textId="77777777" w:rsidR="00B1302F" w:rsidRDefault="00B1302F" w:rsidP="003333B5">
      <w:pPr>
        <w:rPr>
          <w:b/>
        </w:rPr>
      </w:pPr>
    </w:p>
    <w:p w14:paraId="70CA290F" w14:textId="77777777" w:rsidR="00B1302F" w:rsidRDefault="00B1302F" w:rsidP="003333B5">
      <w:pPr>
        <w:rPr>
          <w:b/>
        </w:rPr>
      </w:pPr>
    </w:p>
    <w:p w14:paraId="16960D0D" w14:textId="77777777" w:rsidR="00B1302F" w:rsidRDefault="00B1302F" w:rsidP="003333B5">
      <w:pPr>
        <w:rPr>
          <w:b/>
        </w:rPr>
      </w:pPr>
    </w:p>
    <w:p w14:paraId="157F7515" w14:textId="77777777" w:rsidR="00B1302F" w:rsidRDefault="00B1302F" w:rsidP="003333B5">
      <w:pPr>
        <w:rPr>
          <w:b/>
        </w:rPr>
      </w:pPr>
    </w:p>
    <w:p w14:paraId="55BB536F" w14:textId="77777777" w:rsidR="00B1302F" w:rsidRDefault="00B1302F" w:rsidP="003333B5">
      <w:pPr>
        <w:rPr>
          <w:b/>
        </w:rPr>
      </w:pPr>
    </w:p>
    <w:p w14:paraId="0E7CBAFE" w14:textId="77777777" w:rsidR="00B1302F" w:rsidRDefault="00B1302F" w:rsidP="003333B5">
      <w:pPr>
        <w:rPr>
          <w:b/>
        </w:rPr>
      </w:pPr>
    </w:p>
    <w:p w14:paraId="621E6ACD" w14:textId="77777777" w:rsidR="00B1302F" w:rsidRDefault="00B1302F" w:rsidP="003333B5">
      <w:pPr>
        <w:rPr>
          <w:b/>
        </w:rPr>
      </w:pPr>
    </w:p>
    <w:p w14:paraId="43F43415" w14:textId="77777777" w:rsidR="00B1302F" w:rsidRDefault="00B1302F" w:rsidP="003333B5">
      <w:pPr>
        <w:rPr>
          <w:b/>
        </w:rPr>
      </w:pPr>
    </w:p>
    <w:p w14:paraId="0A7EDBE7" w14:textId="77777777" w:rsidR="00B1302F" w:rsidRDefault="00B1302F" w:rsidP="003333B5">
      <w:pPr>
        <w:rPr>
          <w:b/>
        </w:rPr>
      </w:pPr>
    </w:p>
    <w:p w14:paraId="3FC6F154" w14:textId="77777777" w:rsidR="00B1302F" w:rsidRDefault="00B1302F" w:rsidP="003333B5">
      <w:pPr>
        <w:rPr>
          <w:b/>
        </w:rPr>
      </w:pPr>
    </w:p>
    <w:p w14:paraId="4E24F723" w14:textId="77777777" w:rsidR="00B1302F" w:rsidRDefault="00B1302F" w:rsidP="003333B5">
      <w:pPr>
        <w:rPr>
          <w:b/>
        </w:rPr>
      </w:pPr>
    </w:p>
    <w:p w14:paraId="7B29C876" w14:textId="77777777" w:rsidR="00B1302F" w:rsidRDefault="00B1302F" w:rsidP="003333B5">
      <w:pPr>
        <w:rPr>
          <w:b/>
        </w:rPr>
      </w:pPr>
    </w:p>
    <w:p w14:paraId="0CFC5367" w14:textId="77777777" w:rsidR="00B1302F" w:rsidRDefault="00B1302F" w:rsidP="003333B5">
      <w:pPr>
        <w:rPr>
          <w:b/>
        </w:rPr>
      </w:pPr>
    </w:p>
    <w:p w14:paraId="471845B3" w14:textId="77777777" w:rsidR="00B1302F" w:rsidRDefault="00B1302F" w:rsidP="003333B5">
      <w:pPr>
        <w:rPr>
          <w:b/>
        </w:rPr>
      </w:pPr>
    </w:p>
    <w:p w14:paraId="0936AF1C" w14:textId="77777777" w:rsidR="00B1302F" w:rsidRDefault="00B1302F" w:rsidP="003333B5">
      <w:pPr>
        <w:rPr>
          <w:b/>
        </w:rPr>
      </w:pPr>
    </w:p>
    <w:p w14:paraId="11E878CD" w14:textId="77777777" w:rsidR="00B1302F" w:rsidRDefault="00B1302F" w:rsidP="003333B5">
      <w:pPr>
        <w:rPr>
          <w:b/>
        </w:rPr>
      </w:pPr>
    </w:p>
    <w:p w14:paraId="1E6F09B8" w14:textId="77777777" w:rsidR="00B1302F" w:rsidRDefault="00B1302F" w:rsidP="003333B5">
      <w:pPr>
        <w:rPr>
          <w:b/>
        </w:rPr>
      </w:pPr>
    </w:p>
    <w:p w14:paraId="24D4A8FE" w14:textId="77777777" w:rsidR="00B1302F" w:rsidRDefault="00B1302F" w:rsidP="003333B5">
      <w:pPr>
        <w:rPr>
          <w:b/>
        </w:rPr>
      </w:pPr>
    </w:p>
    <w:p w14:paraId="0D63E740" w14:textId="77777777" w:rsidR="00B1302F" w:rsidRDefault="00B1302F" w:rsidP="003333B5">
      <w:pPr>
        <w:rPr>
          <w:b/>
        </w:rPr>
      </w:pPr>
    </w:p>
    <w:p w14:paraId="4CAB46F5" w14:textId="77777777" w:rsidR="00B1302F" w:rsidRDefault="00B1302F" w:rsidP="003333B5">
      <w:pPr>
        <w:rPr>
          <w:b/>
        </w:rPr>
      </w:pPr>
    </w:p>
    <w:p w14:paraId="61CE147F" w14:textId="77777777" w:rsidR="00B1302F" w:rsidRDefault="00B1302F" w:rsidP="003333B5">
      <w:pPr>
        <w:rPr>
          <w:b/>
        </w:rPr>
      </w:pPr>
    </w:p>
    <w:p w14:paraId="39F530C4" w14:textId="77777777" w:rsidR="00B1302F" w:rsidRDefault="00B1302F" w:rsidP="003333B5">
      <w:pPr>
        <w:rPr>
          <w:b/>
        </w:rPr>
      </w:pPr>
    </w:p>
    <w:p w14:paraId="0E5CA6DF" w14:textId="77777777" w:rsidR="00B1302F" w:rsidRDefault="00B1302F" w:rsidP="003333B5">
      <w:pPr>
        <w:rPr>
          <w:b/>
        </w:rPr>
      </w:pPr>
    </w:p>
    <w:p w14:paraId="137A806C" w14:textId="77777777" w:rsidR="00B1302F" w:rsidRDefault="00B1302F" w:rsidP="003333B5">
      <w:pPr>
        <w:rPr>
          <w:b/>
        </w:rPr>
      </w:pPr>
    </w:p>
    <w:p w14:paraId="5D9D66AE" w14:textId="77777777" w:rsidR="00B1302F" w:rsidRDefault="00B1302F" w:rsidP="003333B5">
      <w:pPr>
        <w:rPr>
          <w:b/>
        </w:rPr>
      </w:pPr>
    </w:p>
    <w:p w14:paraId="7A790AEE" w14:textId="77777777" w:rsidR="00B1302F" w:rsidRDefault="00B1302F" w:rsidP="003333B5">
      <w:pPr>
        <w:rPr>
          <w:b/>
        </w:rPr>
      </w:pPr>
    </w:p>
    <w:p w14:paraId="10A557FB" w14:textId="77777777" w:rsidR="00B1302F" w:rsidRDefault="00B1302F" w:rsidP="003333B5">
      <w:pPr>
        <w:rPr>
          <w:b/>
        </w:rPr>
      </w:pPr>
    </w:p>
    <w:p w14:paraId="322CF40D" w14:textId="77777777" w:rsidR="00B1302F" w:rsidRDefault="00B1302F" w:rsidP="003333B5">
      <w:pPr>
        <w:rPr>
          <w:b/>
        </w:rPr>
      </w:pPr>
    </w:p>
    <w:p w14:paraId="019B7596" w14:textId="77777777" w:rsidR="00B1302F" w:rsidRDefault="00B1302F" w:rsidP="003333B5">
      <w:pPr>
        <w:rPr>
          <w:b/>
        </w:rPr>
      </w:pPr>
    </w:p>
    <w:p w14:paraId="43FAAD52" w14:textId="77777777" w:rsidR="00B1302F" w:rsidRDefault="00B1302F" w:rsidP="003333B5">
      <w:pPr>
        <w:rPr>
          <w:b/>
        </w:rPr>
      </w:pPr>
    </w:p>
    <w:p w14:paraId="02D7F49E" w14:textId="77777777" w:rsidR="00B1302F" w:rsidRDefault="00B1302F" w:rsidP="003333B5">
      <w:pPr>
        <w:rPr>
          <w:b/>
        </w:rPr>
      </w:pPr>
    </w:p>
    <w:p w14:paraId="31CFF777" w14:textId="77777777" w:rsidR="00B1302F" w:rsidRDefault="00B1302F" w:rsidP="003333B5">
      <w:pPr>
        <w:rPr>
          <w:b/>
        </w:rPr>
      </w:pPr>
    </w:p>
    <w:p w14:paraId="12554E34" w14:textId="77777777" w:rsidR="00B1302F" w:rsidRDefault="00B1302F" w:rsidP="003333B5">
      <w:pPr>
        <w:rPr>
          <w:b/>
        </w:rPr>
      </w:pPr>
    </w:p>
    <w:p w14:paraId="6DA5CD52" w14:textId="77777777" w:rsidR="00B1302F" w:rsidRDefault="00B1302F" w:rsidP="003333B5">
      <w:pPr>
        <w:rPr>
          <w:b/>
        </w:rPr>
      </w:pPr>
    </w:p>
    <w:p w14:paraId="0CC2B7FB" w14:textId="77777777" w:rsidR="00B1302F" w:rsidRDefault="00B1302F" w:rsidP="003333B5">
      <w:pPr>
        <w:rPr>
          <w:b/>
        </w:rPr>
      </w:pPr>
    </w:p>
    <w:p w14:paraId="2518CEF5" w14:textId="77777777" w:rsidR="00B1302F" w:rsidRDefault="00B1302F" w:rsidP="003333B5">
      <w:pPr>
        <w:rPr>
          <w:b/>
        </w:rPr>
      </w:pPr>
    </w:p>
    <w:p w14:paraId="43C85E60" w14:textId="77777777" w:rsidR="00B1302F" w:rsidRDefault="00B1302F" w:rsidP="003333B5">
      <w:pPr>
        <w:rPr>
          <w:b/>
        </w:rPr>
      </w:pPr>
    </w:p>
    <w:p w14:paraId="78D96CC0" w14:textId="77777777" w:rsidR="00B1302F" w:rsidRDefault="00B1302F" w:rsidP="003333B5">
      <w:pPr>
        <w:rPr>
          <w:b/>
        </w:rPr>
      </w:pPr>
    </w:p>
    <w:p w14:paraId="482E06D3" w14:textId="77777777" w:rsidR="00B1302F" w:rsidRDefault="00B1302F" w:rsidP="003333B5">
      <w:pPr>
        <w:rPr>
          <w:b/>
        </w:rPr>
      </w:pPr>
    </w:p>
    <w:p w14:paraId="28C896E8" w14:textId="77777777" w:rsidR="00B1302F" w:rsidRDefault="00B1302F" w:rsidP="003333B5">
      <w:pPr>
        <w:rPr>
          <w:b/>
        </w:rPr>
      </w:pPr>
    </w:p>
    <w:p w14:paraId="32521C59" w14:textId="77777777" w:rsidR="00B1302F" w:rsidRDefault="00B1302F" w:rsidP="003333B5">
      <w:pPr>
        <w:rPr>
          <w:b/>
        </w:rPr>
      </w:pPr>
    </w:p>
    <w:p w14:paraId="1316428C" w14:textId="77777777" w:rsidR="00B1302F" w:rsidRDefault="00B1302F" w:rsidP="003333B5">
      <w:pPr>
        <w:rPr>
          <w:b/>
        </w:rPr>
      </w:pPr>
    </w:p>
    <w:p w14:paraId="5803C1E2" w14:textId="77777777" w:rsidR="00B1302F" w:rsidRDefault="00B1302F" w:rsidP="003333B5">
      <w:pPr>
        <w:rPr>
          <w:b/>
        </w:rPr>
      </w:pPr>
    </w:p>
    <w:p w14:paraId="2331F0D1" w14:textId="77777777" w:rsidR="00B1302F" w:rsidRDefault="00B1302F" w:rsidP="003333B5">
      <w:pPr>
        <w:rPr>
          <w:b/>
        </w:rPr>
      </w:pPr>
    </w:p>
    <w:p w14:paraId="4DF0431D" w14:textId="77777777" w:rsidR="00B1302F" w:rsidRDefault="00B1302F" w:rsidP="003333B5">
      <w:pPr>
        <w:rPr>
          <w:b/>
        </w:rPr>
      </w:pPr>
    </w:p>
    <w:p w14:paraId="154B8A6D" w14:textId="77777777" w:rsidR="008E684A" w:rsidRDefault="008E684A" w:rsidP="003333B5">
      <w:pPr>
        <w:rPr>
          <w:b/>
        </w:rPr>
      </w:pPr>
    </w:p>
    <w:p w14:paraId="0E0A37BD" w14:textId="77777777" w:rsidR="00EF22A6" w:rsidRPr="008E684A" w:rsidRDefault="00EF22A6" w:rsidP="003333B5">
      <w:pPr>
        <w:rPr>
          <w:rFonts w:cs="Arial"/>
          <w:b/>
          <w:sz w:val="16"/>
          <w:szCs w:val="16"/>
        </w:rPr>
      </w:pPr>
      <w:r w:rsidRPr="008E684A">
        <w:rPr>
          <w:rFonts w:cs="Arial"/>
          <w:b/>
          <w:sz w:val="16"/>
          <w:szCs w:val="16"/>
        </w:rPr>
        <w:t xml:space="preserve">Información de referencia </w:t>
      </w:r>
    </w:p>
    <w:p w14:paraId="390913B8" w14:textId="77777777" w:rsidR="00EF22A6" w:rsidRPr="008E684A" w:rsidRDefault="00EF22A6" w:rsidP="003333B5">
      <w:pPr>
        <w:rPr>
          <w:rFonts w:cs="Arial"/>
          <w:sz w:val="16"/>
          <w:szCs w:val="16"/>
        </w:rPr>
      </w:pPr>
    </w:p>
    <w:p w14:paraId="6D221A82" w14:textId="0E838B1A" w:rsidR="00EF22A6" w:rsidRDefault="00EF22A6" w:rsidP="00B1302F">
      <w:pPr>
        <w:rPr>
          <w:rFonts w:cs="Arial"/>
          <w:sz w:val="16"/>
          <w:szCs w:val="16"/>
        </w:rPr>
      </w:pPr>
    </w:p>
    <w:tbl>
      <w:tblPr>
        <w:tblW w:w="7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976"/>
        <w:gridCol w:w="2835"/>
      </w:tblGrid>
      <w:tr w:rsidR="008D678B" w:rsidRPr="008D678B" w14:paraId="339B7793" w14:textId="77777777" w:rsidTr="0041060D">
        <w:trPr>
          <w:trHeight w:val="675"/>
        </w:trPr>
        <w:tc>
          <w:tcPr>
            <w:tcW w:w="737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B0D9AB" w14:textId="2BBF3CB6" w:rsidR="008D678B" w:rsidRPr="008D678B" w:rsidRDefault="008D678B" w:rsidP="008D678B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Gasto </w:t>
            </w:r>
            <w:r w:rsidR="00BD63A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F</w:t>
            </w: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ederal en </w:t>
            </w:r>
            <w:r w:rsidR="00BD63A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E</w:t>
            </w: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ducación </w:t>
            </w:r>
            <w:r w:rsidR="00BD63A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O</w:t>
            </w: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bligatoria relativo al gasto programable y al Product</w:t>
            </w:r>
            <w:r w:rsidR="00BD63A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o Interno Bruto (PIB) (2008-2017</w:t>
            </w: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</w:tr>
      <w:tr w:rsidR="008D678B" w:rsidRPr="008D678B" w14:paraId="347909BC" w14:textId="77777777" w:rsidTr="0041060D">
        <w:trPr>
          <w:trHeight w:val="46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6FF04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Año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23AA2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Relativo al gasto programable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02E32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Relativo al PIB</w:t>
            </w:r>
          </w:p>
        </w:tc>
      </w:tr>
      <w:tr w:rsidR="008D678B" w:rsidRPr="008D678B" w14:paraId="0A9B307C" w14:textId="77777777" w:rsidTr="0041060D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73569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8B4E4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15.8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06E10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2.8</w:t>
            </w:r>
          </w:p>
        </w:tc>
      </w:tr>
      <w:tr w:rsidR="008D678B" w:rsidRPr="008D678B" w14:paraId="22A74094" w14:textId="77777777" w:rsidTr="0041060D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FC243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2009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C6D8A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14.6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321DE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2.9</w:t>
            </w:r>
          </w:p>
        </w:tc>
      </w:tr>
      <w:tr w:rsidR="008D678B" w:rsidRPr="008D678B" w14:paraId="648A1ACE" w14:textId="77777777" w:rsidTr="0041060D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53C38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3EAA4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14.4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D5531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2.8</w:t>
            </w:r>
          </w:p>
        </w:tc>
      </w:tr>
      <w:tr w:rsidR="008D678B" w:rsidRPr="008D678B" w14:paraId="1B8935D0" w14:textId="77777777" w:rsidTr="0041060D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34128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759B9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14.1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9DEE8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2.8</w:t>
            </w:r>
          </w:p>
        </w:tc>
      </w:tr>
      <w:tr w:rsidR="008D678B" w:rsidRPr="008D678B" w14:paraId="5F327558" w14:textId="77777777" w:rsidTr="0041060D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223A2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DEB18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13.9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0F1A1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2.7</w:t>
            </w:r>
          </w:p>
        </w:tc>
      </w:tr>
      <w:tr w:rsidR="008D678B" w:rsidRPr="008D678B" w14:paraId="6ABDADB7" w14:textId="77777777" w:rsidTr="0041060D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C923A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28C12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13.4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44F95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2.8</w:t>
            </w:r>
          </w:p>
        </w:tc>
      </w:tr>
      <w:tr w:rsidR="008D678B" w:rsidRPr="008D678B" w14:paraId="501D50C6" w14:textId="77777777" w:rsidTr="0041060D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E343A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65A61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13.5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615C2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2.8</w:t>
            </w:r>
          </w:p>
        </w:tc>
      </w:tr>
      <w:tr w:rsidR="008D678B" w:rsidRPr="008D678B" w14:paraId="2017EDB0" w14:textId="77777777" w:rsidTr="0041060D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09699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E2535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13.7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60984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2.8</w:t>
            </w:r>
          </w:p>
        </w:tc>
      </w:tr>
      <w:tr w:rsidR="008D678B" w:rsidRPr="008D678B" w14:paraId="1A60CD61" w14:textId="77777777" w:rsidTr="0041060D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63F85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FAF33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13.0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12839" w14:textId="77777777" w:rsidR="008D678B" w:rsidRPr="008D678B" w:rsidRDefault="008D678B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2.7</w:t>
            </w:r>
          </w:p>
        </w:tc>
      </w:tr>
      <w:tr w:rsidR="00BD63A8" w:rsidRPr="008D678B" w14:paraId="56AA2716" w14:textId="77777777" w:rsidTr="0041060D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2A6083" w14:textId="6A3761EF" w:rsidR="00BD63A8" w:rsidRPr="008D678B" w:rsidRDefault="00BD63A8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C5422F" w14:textId="0068F27B" w:rsidR="00BD63A8" w:rsidRPr="008D678B" w:rsidRDefault="00BD63A8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13.0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88A837" w14:textId="71A71D2C" w:rsidR="00BD63A8" w:rsidRPr="008D678B" w:rsidRDefault="00BD63A8" w:rsidP="008D678B">
            <w:pPr>
              <w:jc w:val="center"/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2.5</w:t>
            </w:r>
          </w:p>
        </w:tc>
      </w:tr>
      <w:tr w:rsidR="008D678B" w:rsidRPr="008D678B" w14:paraId="20999048" w14:textId="77777777" w:rsidTr="0041060D">
        <w:trPr>
          <w:trHeight w:val="810"/>
        </w:trPr>
        <w:tc>
          <w:tcPr>
            <w:tcW w:w="737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3BE56" w14:textId="0235D27B" w:rsidR="008D678B" w:rsidRPr="008D678B" w:rsidRDefault="008D678B" w:rsidP="008D678B">
            <w:pPr>
              <w:rPr>
                <w:rFonts w:cs="Arial"/>
                <w:color w:val="000000"/>
                <w:sz w:val="16"/>
                <w:szCs w:val="16"/>
                <w:lang w:val="es-MX" w:eastAsia="es-MX"/>
              </w:rPr>
            </w:pP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Fuentes: INEE, cálculos con base en la Cuenta de la Hacienda Pública Federal 2008-201</w:t>
            </w:r>
            <w:r w:rsidR="00BD63A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7</w:t>
            </w: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="00BD63A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(</w:t>
            </w: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SHCP</w:t>
            </w:r>
            <w:r w:rsidR="00BD63A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,</w:t>
            </w: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="00BD63A8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2018</w:t>
            </w: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), y el PIB y Cuentas Nacionales</w:t>
            </w:r>
            <w:r w:rsidRPr="00447296">
              <w:rPr>
                <w:rFonts w:cs="Arial"/>
                <w:smallCaps/>
                <w:color w:val="000000"/>
                <w:sz w:val="16"/>
                <w:szCs w:val="16"/>
                <w:lang w:val="es-MX" w:eastAsia="es-MX"/>
              </w:rPr>
              <w:t xml:space="preserve"> </w:t>
            </w:r>
            <w:r w:rsidR="00BD63A8">
              <w:rPr>
                <w:rFonts w:cs="Arial"/>
                <w:smallCaps/>
                <w:color w:val="000000"/>
                <w:sz w:val="16"/>
                <w:szCs w:val="16"/>
                <w:lang w:val="es-MX" w:eastAsia="es-MX"/>
              </w:rPr>
              <w:t>(</w:t>
            </w:r>
            <w:r w:rsidRPr="0008141F">
              <w:rPr>
                <w:rFonts w:cs="Arial"/>
                <w:caps/>
                <w:color w:val="000000"/>
                <w:sz w:val="16"/>
                <w:szCs w:val="16"/>
                <w:lang w:val="es-MX" w:eastAsia="es-MX"/>
              </w:rPr>
              <w:t>Inegi</w:t>
            </w:r>
            <w:r w:rsidR="00BD63A8">
              <w:rPr>
                <w:rFonts w:cs="Arial"/>
                <w:smallCaps/>
                <w:color w:val="000000"/>
                <w:sz w:val="16"/>
                <w:szCs w:val="16"/>
                <w:lang w:val="es-MX" w:eastAsia="es-MX"/>
              </w:rPr>
              <w:t>,</w:t>
            </w: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 xml:space="preserve"> 2018</w:t>
            </w:r>
            <w:r w:rsidR="00983A47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d</w:t>
            </w:r>
            <w:r w:rsidRPr="008D678B">
              <w:rPr>
                <w:rFonts w:cs="Arial"/>
                <w:color w:val="000000"/>
                <w:sz w:val="16"/>
                <w:szCs w:val="16"/>
                <w:lang w:val="es-MX" w:eastAsia="es-MX"/>
              </w:rPr>
              <w:t>).</w:t>
            </w:r>
          </w:p>
        </w:tc>
      </w:tr>
    </w:tbl>
    <w:p w14:paraId="677C0B08" w14:textId="77777777" w:rsidR="00113AAB" w:rsidRPr="008E684A" w:rsidRDefault="00113AAB" w:rsidP="00B1302F">
      <w:pPr>
        <w:rPr>
          <w:rFonts w:cs="Arial"/>
          <w:sz w:val="16"/>
          <w:szCs w:val="16"/>
        </w:rPr>
      </w:pPr>
    </w:p>
    <w:sectPr w:rsidR="00113AAB" w:rsidRPr="008E684A" w:rsidSect="00B1302F">
      <w:pgSz w:w="12240" w:h="15840" w:code="1"/>
      <w:pgMar w:top="1135" w:right="1418" w:bottom="993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8C143" w14:textId="77777777" w:rsidR="00EB7B6F" w:rsidRDefault="00EB7B6F" w:rsidP="00EF22A6">
      <w:r>
        <w:separator/>
      </w:r>
    </w:p>
  </w:endnote>
  <w:endnote w:type="continuationSeparator" w:id="0">
    <w:p w14:paraId="292F3AB3" w14:textId="77777777" w:rsidR="00EB7B6F" w:rsidRDefault="00EB7B6F" w:rsidP="00EF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C34E0" w14:textId="77777777" w:rsidR="00EB7B6F" w:rsidRDefault="00EB7B6F" w:rsidP="00EF22A6">
      <w:r>
        <w:separator/>
      </w:r>
    </w:p>
  </w:footnote>
  <w:footnote w:type="continuationSeparator" w:id="0">
    <w:p w14:paraId="4F4D960D" w14:textId="77777777" w:rsidR="00EB7B6F" w:rsidRDefault="00EB7B6F" w:rsidP="00EF2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A4903"/>
    <w:multiLevelType w:val="hybridMultilevel"/>
    <w:tmpl w:val="808AABE4"/>
    <w:lvl w:ilvl="0" w:tplc="6BFE4AB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1552C"/>
    <w:multiLevelType w:val="hybridMultilevel"/>
    <w:tmpl w:val="733E7A8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674"/>
    <w:rsid w:val="000039F0"/>
    <w:rsid w:val="000057C3"/>
    <w:rsid w:val="00026151"/>
    <w:rsid w:val="00036C2B"/>
    <w:rsid w:val="000376F4"/>
    <w:rsid w:val="00047A71"/>
    <w:rsid w:val="00050651"/>
    <w:rsid w:val="00054329"/>
    <w:rsid w:val="000638B9"/>
    <w:rsid w:val="000660B3"/>
    <w:rsid w:val="0008141F"/>
    <w:rsid w:val="00081796"/>
    <w:rsid w:val="0008726B"/>
    <w:rsid w:val="00092A51"/>
    <w:rsid w:val="000A3F24"/>
    <w:rsid w:val="000A4EC2"/>
    <w:rsid w:val="000B1B97"/>
    <w:rsid w:val="000C3B8D"/>
    <w:rsid w:val="000C6D41"/>
    <w:rsid w:val="000E21F9"/>
    <w:rsid w:val="000F1174"/>
    <w:rsid w:val="000F552A"/>
    <w:rsid w:val="000F5B7A"/>
    <w:rsid w:val="00100400"/>
    <w:rsid w:val="00113AAB"/>
    <w:rsid w:val="00113C93"/>
    <w:rsid w:val="00120220"/>
    <w:rsid w:val="00141439"/>
    <w:rsid w:val="001451C7"/>
    <w:rsid w:val="00154497"/>
    <w:rsid w:val="00155039"/>
    <w:rsid w:val="00167428"/>
    <w:rsid w:val="001674C1"/>
    <w:rsid w:val="001820D0"/>
    <w:rsid w:val="00183C18"/>
    <w:rsid w:val="00190E28"/>
    <w:rsid w:val="001A3C15"/>
    <w:rsid w:val="001B6820"/>
    <w:rsid w:val="001C1B16"/>
    <w:rsid w:val="001C31DD"/>
    <w:rsid w:val="001C67E5"/>
    <w:rsid w:val="001E49ED"/>
    <w:rsid w:val="002006F8"/>
    <w:rsid w:val="00204BA9"/>
    <w:rsid w:val="0021124C"/>
    <w:rsid w:val="00214FA8"/>
    <w:rsid w:val="00232A8D"/>
    <w:rsid w:val="002330F5"/>
    <w:rsid w:val="00236512"/>
    <w:rsid w:val="00236F80"/>
    <w:rsid w:val="002404F5"/>
    <w:rsid w:val="00240D80"/>
    <w:rsid w:val="00242743"/>
    <w:rsid w:val="00246222"/>
    <w:rsid w:val="0025127B"/>
    <w:rsid w:val="002537A5"/>
    <w:rsid w:val="002636D3"/>
    <w:rsid w:val="00272AD2"/>
    <w:rsid w:val="00281EC9"/>
    <w:rsid w:val="0029230D"/>
    <w:rsid w:val="0029652B"/>
    <w:rsid w:val="00296F4A"/>
    <w:rsid w:val="002B2A5E"/>
    <w:rsid w:val="002D1A6C"/>
    <w:rsid w:val="002D489E"/>
    <w:rsid w:val="002D4D3A"/>
    <w:rsid w:val="002E13E7"/>
    <w:rsid w:val="002F3592"/>
    <w:rsid w:val="002F6284"/>
    <w:rsid w:val="00300A21"/>
    <w:rsid w:val="003020FE"/>
    <w:rsid w:val="00307E52"/>
    <w:rsid w:val="00311695"/>
    <w:rsid w:val="00322E6D"/>
    <w:rsid w:val="0032357F"/>
    <w:rsid w:val="0032547F"/>
    <w:rsid w:val="00325532"/>
    <w:rsid w:val="003309F0"/>
    <w:rsid w:val="003333B5"/>
    <w:rsid w:val="0034513F"/>
    <w:rsid w:val="00346E22"/>
    <w:rsid w:val="00351416"/>
    <w:rsid w:val="00352A3D"/>
    <w:rsid w:val="0035603E"/>
    <w:rsid w:val="0035773F"/>
    <w:rsid w:val="00371217"/>
    <w:rsid w:val="00373EF7"/>
    <w:rsid w:val="003840C5"/>
    <w:rsid w:val="003A15C7"/>
    <w:rsid w:val="003A57AE"/>
    <w:rsid w:val="003B24FF"/>
    <w:rsid w:val="003B3953"/>
    <w:rsid w:val="003B3DBD"/>
    <w:rsid w:val="003B6B9B"/>
    <w:rsid w:val="003C1F5C"/>
    <w:rsid w:val="003C590C"/>
    <w:rsid w:val="003C6188"/>
    <w:rsid w:val="003C7372"/>
    <w:rsid w:val="003E2BF2"/>
    <w:rsid w:val="003E2CE9"/>
    <w:rsid w:val="003E6B0D"/>
    <w:rsid w:val="003F35E4"/>
    <w:rsid w:val="00400B71"/>
    <w:rsid w:val="0041051F"/>
    <w:rsid w:val="0041060D"/>
    <w:rsid w:val="00411B35"/>
    <w:rsid w:val="00413DB9"/>
    <w:rsid w:val="004150CA"/>
    <w:rsid w:val="0042100B"/>
    <w:rsid w:val="00424CD7"/>
    <w:rsid w:val="0043267C"/>
    <w:rsid w:val="00435609"/>
    <w:rsid w:val="004358BD"/>
    <w:rsid w:val="004359C3"/>
    <w:rsid w:val="00447296"/>
    <w:rsid w:val="004524BE"/>
    <w:rsid w:val="00456E6D"/>
    <w:rsid w:val="00464F63"/>
    <w:rsid w:val="00477A66"/>
    <w:rsid w:val="00477D01"/>
    <w:rsid w:val="00482E8F"/>
    <w:rsid w:val="00484F81"/>
    <w:rsid w:val="004A6BAD"/>
    <w:rsid w:val="004B33F1"/>
    <w:rsid w:val="004B63D5"/>
    <w:rsid w:val="004F583E"/>
    <w:rsid w:val="005033C7"/>
    <w:rsid w:val="005156AC"/>
    <w:rsid w:val="0054261F"/>
    <w:rsid w:val="005434C0"/>
    <w:rsid w:val="00546903"/>
    <w:rsid w:val="00547497"/>
    <w:rsid w:val="00552C27"/>
    <w:rsid w:val="00554777"/>
    <w:rsid w:val="00561A20"/>
    <w:rsid w:val="00564A9E"/>
    <w:rsid w:val="00566D55"/>
    <w:rsid w:val="00575A66"/>
    <w:rsid w:val="00582E50"/>
    <w:rsid w:val="005833F0"/>
    <w:rsid w:val="00584538"/>
    <w:rsid w:val="005A19DD"/>
    <w:rsid w:val="005A3D4D"/>
    <w:rsid w:val="005A5BDE"/>
    <w:rsid w:val="005A672E"/>
    <w:rsid w:val="005B01B5"/>
    <w:rsid w:val="005B2055"/>
    <w:rsid w:val="005B3A40"/>
    <w:rsid w:val="005B6D65"/>
    <w:rsid w:val="005C32BC"/>
    <w:rsid w:val="005D19D0"/>
    <w:rsid w:val="005D361E"/>
    <w:rsid w:val="005D5186"/>
    <w:rsid w:val="005E38DA"/>
    <w:rsid w:val="005F013D"/>
    <w:rsid w:val="005F24BE"/>
    <w:rsid w:val="00603E80"/>
    <w:rsid w:val="00605338"/>
    <w:rsid w:val="00611A61"/>
    <w:rsid w:val="0061294D"/>
    <w:rsid w:val="00613D5A"/>
    <w:rsid w:val="00614514"/>
    <w:rsid w:val="006230D0"/>
    <w:rsid w:val="006310C7"/>
    <w:rsid w:val="00633DE0"/>
    <w:rsid w:val="0064128B"/>
    <w:rsid w:val="0064630D"/>
    <w:rsid w:val="0065722F"/>
    <w:rsid w:val="0068301B"/>
    <w:rsid w:val="00684BE2"/>
    <w:rsid w:val="006A010D"/>
    <w:rsid w:val="006A75DE"/>
    <w:rsid w:val="006B71C8"/>
    <w:rsid w:val="006C2763"/>
    <w:rsid w:val="006C5852"/>
    <w:rsid w:val="006C60BD"/>
    <w:rsid w:val="006D0490"/>
    <w:rsid w:val="006D6D6B"/>
    <w:rsid w:val="006E6419"/>
    <w:rsid w:val="00700325"/>
    <w:rsid w:val="00707BB2"/>
    <w:rsid w:val="0071623F"/>
    <w:rsid w:val="007432C2"/>
    <w:rsid w:val="00743B8C"/>
    <w:rsid w:val="007467E4"/>
    <w:rsid w:val="0075033F"/>
    <w:rsid w:val="0075696A"/>
    <w:rsid w:val="00760CB7"/>
    <w:rsid w:val="007756EC"/>
    <w:rsid w:val="0077575C"/>
    <w:rsid w:val="00775D2A"/>
    <w:rsid w:val="00787C09"/>
    <w:rsid w:val="007902E4"/>
    <w:rsid w:val="0079056D"/>
    <w:rsid w:val="00790F10"/>
    <w:rsid w:val="007A5323"/>
    <w:rsid w:val="007A6C89"/>
    <w:rsid w:val="007B14D2"/>
    <w:rsid w:val="007C1F48"/>
    <w:rsid w:val="007C35D2"/>
    <w:rsid w:val="007D068E"/>
    <w:rsid w:val="007D133D"/>
    <w:rsid w:val="007D3F0D"/>
    <w:rsid w:val="007D7523"/>
    <w:rsid w:val="007F2092"/>
    <w:rsid w:val="007F433D"/>
    <w:rsid w:val="00802A68"/>
    <w:rsid w:val="00812DC2"/>
    <w:rsid w:val="00812F4B"/>
    <w:rsid w:val="0081323E"/>
    <w:rsid w:val="008140B7"/>
    <w:rsid w:val="008213C0"/>
    <w:rsid w:val="008259AE"/>
    <w:rsid w:val="008278E2"/>
    <w:rsid w:val="00833436"/>
    <w:rsid w:val="00837168"/>
    <w:rsid w:val="00840011"/>
    <w:rsid w:val="0084571F"/>
    <w:rsid w:val="008461ED"/>
    <w:rsid w:val="00852A50"/>
    <w:rsid w:val="00861674"/>
    <w:rsid w:val="00866732"/>
    <w:rsid w:val="00872975"/>
    <w:rsid w:val="00873873"/>
    <w:rsid w:val="00881DDB"/>
    <w:rsid w:val="0089222A"/>
    <w:rsid w:val="008A6C8C"/>
    <w:rsid w:val="008B78A6"/>
    <w:rsid w:val="008C1045"/>
    <w:rsid w:val="008C30AE"/>
    <w:rsid w:val="008C70FA"/>
    <w:rsid w:val="008D06DD"/>
    <w:rsid w:val="008D1224"/>
    <w:rsid w:val="008D678B"/>
    <w:rsid w:val="008E684A"/>
    <w:rsid w:val="009057BD"/>
    <w:rsid w:val="00910C9A"/>
    <w:rsid w:val="0091696D"/>
    <w:rsid w:val="0092326D"/>
    <w:rsid w:val="009249CD"/>
    <w:rsid w:val="009310B4"/>
    <w:rsid w:val="00940716"/>
    <w:rsid w:val="009648CB"/>
    <w:rsid w:val="00966D1F"/>
    <w:rsid w:val="00974782"/>
    <w:rsid w:val="009803FD"/>
    <w:rsid w:val="00982162"/>
    <w:rsid w:val="00983A47"/>
    <w:rsid w:val="009A12C5"/>
    <w:rsid w:val="009A6834"/>
    <w:rsid w:val="009B199E"/>
    <w:rsid w:val="009B7F68"/>
    <w:rsid w:val="009C6E87"/>
    <w:rsid w:val="009D066F"/>
    <w:rsid w:val="009D2007"/>
    <w:rsid w:val="009D6366"/>
    <w:rsid w:val="009E177B"/>
    <w:rsid w:val="009E3F97"/>
    <w:rsid w:val="009E727B"/>
    <w:rsid w:val="009F43D1"/>
    <w:rsid w:val="00A12C69"/>
    <w:rsid w:val="00A26A46"/>
    <w:rsid w:val="00A27AF2"/>
    <w:rsid w:val="00A45082"/>
    <w:rsid w:val="00A45B29"/>
    <w:rsid w:val="00A45B61"/>
    <w:rsid w:val="00A4607F"/>
    <w:rsid w:val="00A62A7C"/>
    <w:rsid w:val="00A62ED8"/>
    <w:rsid w:val="00A63079"/>
    <w:rsid w:val="00A70AC0"/>
    <w:rsid w:val="00A77CC3"/>
    <w:rsid w:val="00A86C89"/>
    <w:rsid w:val="00A93C7B"/>
    <w:rsid w:val="00A96101"/>
    <w:rsid w:val="00A969B9"/>
    <w:rsid w:val="00AA5028"/>
    <w:rsid w:val="00AD0911"/>
    <w:rsid w:val="00AD2F7E"/>
    <w:rsid w:val="00AF44B2"/>
    <w:rsid w:val="00B0206B"/>
    <w:rsid w:val="00B07D01"/>
    <w:rsid w:val="00B1302F"/>
    <w:rsid w:val="00B17F61"/>
    <w:rsid w:val="00B25D26"/>
    <w:rsid w:val="00B27971"/>
    <w:rsid w:val="00B338DB"/>
    <w:rsid w:val="00B566F2"/>
    <w:rsid w:val="00B6633C"/>
    <w:rsid w:val="00B70705"/>
    <w:rsid w:val="00B73868"/>
    <w:rsid w:val="00B8075F"/>
    <w:rsid w:val="00B834F6"/>
    <w:rsid w:val="00B84189"/>
    <w:rsid w:val="00B841ED"/>
    <w:rsid w:val="00B855D7"/>
    <w:rsid w:val="00B856DE"/>
    <w:rsid w:val="00B9040C"/>
    <w:rsid w:val="00B9351D"/>
    <w:rsid w:val="00B97ECE"/>
    <w:rsid w:val="00BA6AF1"/>
    <w:rsid w:val="00BA7451"/>
    <w:rsid w:val="00BC0188"/>
    <w:rsid w:val="00BC4F70"/>
    <w:rsid w:val="00BC6C80"/>
    <w:rsid w:val="00BD2F05"/>
    <w:rsid w:val="00BD63A8"/>
    <w:rsid w:val="00BE045D"/>
    <w:rsid w:val="00BE5EF0"/>
    <w:rsid w:val="00C11912"/>
    <w:rsid w:val="00C13573"/>
    <w:rsid w:val="00C17976"/>
    <w:rsid w:val="00C21904"/>
    <w:rsid w:val="00C22B56"/>
    <w:rsid w:val="00C32FE2"/>
    <w:rsid w:val="00C34830"/>
    <w:rsid w:val="00C35F4A"/>
    <w:rsid w:val="00C372F4"/>
    <w:rsid w:val="00C43A96"/>
    <w:rsid w:val="00C50EF2"/>
    <w:rsid w:val="00C538BA"/>
    <w:rsid w:val="00C6626E"/>
    <w:rsid w:val="00C73342"/>
    <w:rsid w:val="00C7698B"/>
    <w:rsid w:val="00C9186B"/>
    <w:rsid w:val="00CA0BC0"/>
    <w:rsid w:val="00CA1287"/>
    <w:rsid w:val="00CA465B"/>
    <w:rsid w:val="00CB0D01"/>
    <w:rsid w:val="00CB70B9"/>
    <w:rsid w:val="00CB7FA0"/>
    <w:rsid w:val="00CC5958"/>
    <w:rsid w:val="00CE01E8"/>
    <w:rsid w:val="00CE0A4A"/>
    <w:rsid w:val="00CF2274"/>
    <w:rsid w:val="00D01EEF"/>
    <w:rsid w:val="00D0308D"/>
    <w:rsid w:val="00D11E8E"/>
    <w:rsid w:val="00D42E14"/>
    <w:rsid w:val="00D511B8"/>
    <w:rsid w:val="00D53DD6"/>
    <w:rsid w:val="00D60699"/>
    <w:rsid w:val="00D67358"/>
    <w:rsid w:val="00D80FE0"/>
    <w:rsid w:val="00D929FD"/>
    <w:rsid w:val="00D951DF"/>
    <w:rsid w:val="00D97E74"/>
    <w:rsid w:val="00DA2E75"/>
    <w:rsid w:val="00DB351D"/>
    <w:rsid w:val="00DB3E68"/>
    <w:rsid w:val="00DC247B"/>
    <w:rsid w:val="00DD4E5A"/>
    <w:rsid w:val="00DD723A"/>
    <w:rsid w:val="00DD788C"/>
    <w:rsid w:val="00DD7CD5"/>
    <w:rsid w:val="00DE2B6B"/>
    <w:rsid w:val="00DE3F55"/>
    <w:rsid w:val="00DE61DD"/>
    <w:rsid w:val="00DE7479"/>
    <w:rsid w:val="00E0180E"/>
    <w:rsid w:val="00E01E82"/>
    <w:rsid w:val="00E02B6C"/>
    <w:rsid w:val="00E044A9"/>
    <w:rsid w:val="00E1200B"/>
    <w:rsid w:val="00E135B0"/>
    <w:rsid w:val="00E1651F"/>
    <w:rsid w:val="00E16C32"/>
    <w:rsid w:val="00E179A4"/>
    <w:rsid w:val="00E24762"/>
    <w:rsid w:val="00E252E9"/>
    <w:rsid w:val="00E43030"/>
    <w:rsid w:val="00E4666C"/>
    <w:rsid w:val="00E51BE4"/>
    <w:rsid w:val="00E554E7"/>
    <w:rsid w:val="00E5689C"/>
    <w:rsid w:val="00E629A1"/>
    <w:rsid w:val="00E62C0E"/>
    <w:rsid w:val="00E64A2A"/>
    <w:rsid w:val="00E6581F"/>
    <w:rsid w:val="00E66620"/>
    <w:rsid w:val="00E91768"/>
    <w:rsid w:val="00E920E8"/>
    <w:rsid w:val="00EA1A49"/>
    <w:rsid w:val="00EB7B6F"/>
    <w:rsid w:val="00EC73A7"/>
    <w:rsid w:val="00ED290E"/>
    <w:rsid w:val="00ED47CA"/>
    <w:rsid w:val="00ED56CD"/>
    <w:rsid w:val="00EE12A6"/>
    <w:rsid w:val="00EF22A6"/>
    <w:rsid w:val="00EF569F"/>
    <w:rsid w:val="00F114B3"/>
    <w:rsid w:val="00F26486"/>
    <w:rsid w:val="00F30E47"/>
    <w:rsid w:val="00F31521"/>
    <w:rsid w:val="00F34450"/>
    <w:rsid w:val="00F41984"/>
    <w:rsid w:val="00F53896"/>
    <w:rsid w:val="00F53BB3"/>
    <w:rsid w:val="00F5482F"/>
    <w:rsid w:val="00F566F9"/>
    <w:rsid w:val="00F57A63"/>
    <w:rsid w:val="00F57F69"/>
    <w:rsid w:val="00F61A2A"/>
    <w:rsid w:val="00F70D28"/>
    <w:rsid w:val="00F70FFB"/>
    <w:rsid w:val="00F722FB"/>
    <w:rsid w:val="00F82FC4"/>
    <w:rsid w:val="00F85387"/>
    <w:rsid w:val="00F864BE"/>
    <w:rsid w:val="00F91C70"/>
    <w:rsid w:val="00F923B0"/>
    <w:rsid w:val="00FB2FB7"/>
    <w:rsid w:val="00FB3360"/>
    <w:rsid w:val="00FB3E7E"/>
    <w:rsid w:val="00FB4C30"/>
    <w:rsid w:val="00FC4ED7"/>
    <w:rsid w:val="00FD2C18"/>
    <w:rsid w:val="00FD34AC"/>
    <w:rsid w:val="00FD56EE"/>
    <w:rsid w:val="00FD6990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128425"/>
  <w15:docId w15:val="{7A3DD9DB-F6AD-4334-92F2-8C696EFC1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1674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qFormat/>
    <w:rsid w:val="00861674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1674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861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A86C89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054329"/>
    <w:rPr>
      <w:rFonts w:ascii="Arial" w:hAnsi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EF22A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F22A6"/>
    <w:rPr>
      <w:rFonts w:ascii="Arial" w:hAnsi="Arial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semiHidden/>
    <w:unhideWhenUsed/>
    <w:rsid w:val="00FB4C3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FB4C3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B4C30"/>
    <w:rPr>
      <w:rFonts w:ascii="Arial" w:hAnsi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FB4C3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B4C30"/>
    <w:rPr>
      <w:rFonts w:ascii="Arial" w:hAnsi="Arial"/>
      <w:b/>
      <w:bCs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B4C3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35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667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CS07a Porcentaje de hogares con hijos* en edad escolar normativa básica donde el jefe o cónyuge son analfabetos (2000 y 2005)</vt:lpstr>
    </vt:vector>
  </TitlesOfParts>
  <Company>INEE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CS07a Porcentaje de hogares con hijos* en edad escolar normativa básica donde el jefe o cónyuge son analfabetos (2000 y 2005)</dc:title>
  <dc:creator>Mariel Escobar</dc:creator>
  <cp:lastModifiedBy>Revisor1</cp:lastModifiedBy>
  <cp:revision>17</cp:revision>
  <cp:lastPrinted>2016-08-08T21:06:00Z</cp:lastPrinted>
  <dcterms:created xsi:type="dcterms:W3CDTF">2019-02-28T22:14:00Z</dcterms:created>
  <dcterms:modified xsi:type="dcterms:W3CDTF">2019-07-04T00:19:00Z</dcterms:modified>
</cp:coreProperties>
</file>