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FEFB64" w14:textId="77777777" w:rsidR="00DE3574" w:rsidRPr="00A00339" w:rsidRDefault="00CE7BC0" w:rsidP="00470ACB">
      <w:pPr>
        <w:rPr>
          <w:rFonts w:ascii="Arial" w:hAnsi="Arial" w:cs="Arial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891EBC4" wp14:editId="710EB184">
                <wp:simplePos x="0" y="0"/>
                <wp:positionH relativeFrom="column">
                  <wp:posOffset>-44526</wp:posOffset>
                </wp:positionH>
                <wp:positionV relativeFrom="paragraph">
                  <wp:posOffset>77109</wp:posOffset>
                </wp:positionV>
                <wp:extent cx="685800" cy="272955"/>
                <wp:effectExtent l="0" t="0" r="19050" b="1333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729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99F834D" w14:textId="77777777" w:rsidR="00DE3574" w:rsidRPr="00CD50FF" w:rsidRDefault="00591140" w:rsidP="00470ACB">
                            <w:pPr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D50FF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>CS0</w:t>
                            </w:r>
                            <w:r w:rsidR="009C2419" w:rsidRPr="004719A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8C4F9C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91EBC4" id="AutoShape 2" o:spid="_x0000_s1026" style="position:absolute;margin-left:-3.5pt;margin-top:6.05pt;width:54pt;height:2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">
                <v:textbox>
                  <w:txbxContent>
                    <w:p w14:paraId="399F834D" w14:textId="77777777" w:rsidR="00DE3574" w:rsidRPr="00CD50FF" w:rsidRDefault="00591140" w:rsidP="00470ACB">
                      <w:pPr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</w:pPr>
                      <w:r w:rsidRPr="00CD50FF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>CS0</w:t>
                      </w:r>
                      <w:r w:rsidR="009C2419" w:rsidRPr="004719A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  <w:r w:rsidR="008C4F9C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8FF05B2" w14:textId="77777777" w:rsidR="00DE3574" w:rsidRPr="00A00339" w:rsidRDefault="00DE3574" w:rsidP="00470ACB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8"/>
      </w:tblGrid>
      <w:tr w:rsidR="00DE3574" w:rsidRPr="00A00339" w14:paraId="3CB91EDC" w14:textId="77777777">
        <w:trPr>
          <w:trHeight w:val="584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left w:w="57" w:type="dxa"/>
              <w:bottom w:w="85" w:type="dxa"/>
              <w:right w:w="57" w:type="dxa"/>
            </w:tcMar>
            <w:vAlign w:val="center"/>
          </w:tcPr>
          <w:p w14:paraId="5A8A3363" w14:textId="77777777" w:rsidR="00DE3574" w:rsidRPr="00A00339" w:rsidRDefault="000A14F6" w:rsidP="008B4998">
            <w:pPr>
              <w:tabs>
                <w:tab w:val="left" w:pos="0"/>
              </w:tabs>
              <w:ind w:right="11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Nombre del indicador</w:t>
            </w:r>
          </w:p>
          <w:p w14:paraId="02E23FE0" w14:textId="4ACCE745" w:rsidR="008828A7" w:rsidRPr="00A00339" w:rsidRDefault="006A0939" w:rsidP="00671BF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Tasa de a</w:t>
            </w:r>
            <w:r w:rsidR="00A9437E" w:rsidRPr="00A9437E">
              <w:rPr>
                <w:rFonts w:ascii="Arial" w:hAnsi="Arial" w:cs="Arial"/>
                <w:sz w:val="16"/>
                <w:szCs w:val="16"/>
              </w:rPr>
              <w:t xml:space="preserve">sistencia </w:t>
            </w:r>
            <w:r w:rsidR="00C70A01" w:rsidRPr="00C70A01">
              <w:rPr>
                <w:rFonts w:ascii="Arial" w:hAnsi="Arial" w:cs="Arial"/>
                <w:sz w:val="16"/>
                <w:szCs w:val="16"/>
              </w:rPr>
              <w:t xml:space="preserve">de la población con el antecedente para cursar </w:t>
            </w:r>
            <w:r w:rsidR="00037A9B">
              <w:rPr>
                <w:rFonts w:ascii="Arial" w:hAnsi="Arial" w:cs="Arial"/>
                <w:sz w:val="16"/>
                <w:szCs w:val="16"/>
              </w:rPr>
              <w:t xml:space="preserve">la </w:t>
            </w:r>
            <w:r w:rsidR="000C1B4A">
              <w:rPr>
                <w:rFonts w:ascii="Arial" w:hAnsi="Arial" w:cs="Arial"/>
                <w:sz w:val="16"/>
                <w:szCs w:val="16"/>
              </w:rPr>
              <w:t xml:space="preserve">educación </w:t>
            </w:r>
            <w:r w:rsidR="00C70A01" w:rsidRPr="00C70A01">
              <w:rPr>
                <w:rFonts w:ascii="Arial" w:hAnsi="Arial" w:cs="Arial"/>
                <w:sz w:val="16"/>
                <w:szCs w:val="16"/>
              </w:rPr>
              <w:t>secundaria</w:t>
            </w:r>
            <w:r w:rsidR="00AB7C92">
              <w:rPr>
                <w:rFonts w:ascii="Arial" w:hAnsi="Arial" w:cs="Arial"/>
                <w:sz w:val="16"/>
                <w:szCs w:val="16"/>
              </w:rPr>
              <w:t>,</w:t>
            </w:r>
            <w:r w:rsidR="00C70A01" w:rsidRPr="00C70A01">
              <w:rPr>
                <w:rFonts w:ascii="Arial" w:hAnsi="Arial" w:cs="Arial"/>
                <w:sz w:val="16"/>
                <w:szCs w:val="16"/>
              </w:rPr>
              <w:t xml:space="preserve"> media superior</w:t>
            </w:r>
            <w:r w:rsidR="00AB7C92">
              <w:rPr>
                <w:rFonts w:ascii="Arial" w:hAnsi="Arial" w:cs="Arial"/>
                <w:sz w:val="16"/>
                <w:szCs w:val="16"/>
              </w:rPr>
              <w:t xml:space="preserve"> o superior</w:t>
            </w:r>
          </w:p>
        </w:tc>
      </w:tr>
      <w:tr w:rsidR="00DE3574" w:rsidRPr="00A00339" w14:paraId="2DD295D5" w14:textId="77777777">
        <w:trPr>
          <w:trHeight w:val="506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left w:w="57" w:type="dxa"/>
              <w:bottom w:w="85" w:type="dxa"/>
              <w:right w:w="57" w:type="dxa"/>
            </w:tcMar>
            <w:vAlign w:val="center"/>
          </w:tcPr>
          <w:p w14:paraId="24E1B764" w14:textId="77777777" w:rsidR="00DE3574" w:rsidRPr="00067004" w:rsidRDefault="000A14F6" w:rsidP="008B499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67004">
              <w:rPr>
                <w:rFonts w:ascii="Arial" w:hAnsi="Arial" w:cs="Arial"/>
                <w:b/>
                <w:sz w:val="16"/>
                <w:szCs w:val="16"/>
              </w:rPr>
              <w:t>Definición</w:t>
            </w:r>
          </w:p>
          <w:p w14:paraId="24729940" w14:textId="31D1128A" w:rsidR="00AB7C92" w:rsidRPr="00067004" w:rsidRDefault="00E615AE" w:rsidP="00AB7C92">
            <w:pPr>
              <w:autoSpaceDE w:val="0"/>
              <w:autoSpaceDN w:val="0"/>
              <w:adjustRightInd w:val="0"/>
              <w:jc w:val="both"/>
            </w:pPr>
            <w:r w:rsidRPr="00067004">
              <w:rPr>
                <w:rFonts w:ascii="Arial" w:hAnsi="Arial" w:cs="Arial"/>
                <w:sz w:val="16"/>
                <w:szCs w:val="16"/>
              </w:rPr>
              <w:t xml:space="preserve">El indicador se calcula para </w:t>
            </w:r>
            <w:r w:rsidR="00AB7C92" w:rsidRPr="00067004">
              <w:rPr>
                <w:rFonts w:ascii="Arial" w:hAnsi="Arial" w:cs="Arial"/>
                <w:sz w:val="16"/>
                <w:szCs w:val="16"/>
              </w:rPr>
              <w:t xml:space="preserve">tres </w:t>
            </w:r>
            <w:r w:rsidRPr="00067004">
              <w:rPr>
                <w:rFonts w:ascii="Arial" w:hAnsi="Arial" w:cs="Arial"/>
                <w:sz w:val="16"/>
                <w:szCs w:val="16"/>
              </w:rPr>
              <w:t xml:space="preserve">grupos. El primero corresponde al número de </w:t>
            </w:r>
            <w:r w:rsidR="001322AC" w:rsidRPr="00067004">
              <w:rPr>
                <w:rFonts w:ascii="Arial" w:hAnsi="Arial" w:cs="Arial"/>
                <w:sz w:val="16"/>
                <w:szCs w:val="16"/>
              </w:rPr>
              <w:t xml:space="preserve">jóvenes </w:t>
            </w:r>
            <w:r w:rsidRPr="00067004">
              <w:rPr>
                <w:rFonts w:ascii="Arial" w:hAnsi="Arial" w:cs="Arial"/>
                <w:sz w:val="16"/>
                <w:szCs w:val="16"/>
              </w:rPr>
              <w:t>de 12 a 14 años que asisten a la e</w:t>
            </w:r>
            <w:r w:rsidR="008C4BBB" w:rsidRPr="00067004">
              <w:rPr>
                <w:rFonts w:ascii="Arial" w:hAnsi="Arial" w:cs="Arial"/>
                <w:sz w:val="16"/>
                <w:szCs w:val="16"/>
              </w:rPr>
              <w:t>ducación secundaria por cada cien</w:t>
            </w:r>
            <w:r w:rsidRPr="00067004">
              <w:rPr>
                <w:rFonts w:ascii="Arial" w:hAnsi="Arial" w:cs="Arial"/>
                <w:sz w:val="16"/>
                <w:szCs w:val="16"/>
              </w:rPr>
              <w:t xml:space="preserve"> en el mismo grupo de edad que deberían </w:t>
            </w:r>
            <w:r w:rsidR="00EF0C9F" w:rsidRPr="00067004">
              <w:rPr>
                <w:rFonts w:ascii="Arial" w:hAnsi="Arial" w:cs="Arial"/>
                <w:sz w:val="16"/>
                <w:szCs w:val="16"/>
              </w:rPr>
              <w:t>asistir</w:t>
            </w:r>
            <w:r w:rsidRPr="00067004">
              <w:rPr>
                <w:rFonts w:ascii="Arial" w:hAnsi="Arial" w:cs="Arial"/>
                <w:sz w:val="16"/>
                <w:szCs w:val="16"/>
              </w:rPr>
              <w:t>, es decir, aqu</w:t>
            </w:r>
            <w:r w:rsidR="0026797F" w:rsidRPr="00067004">
              <w:rPr>
                <w:rFonts w:ascii="Arial" w:hAnsi="Arial" w:cs="Arial"/>
                <w:sz w:val="16"/>
                <w:szCs w:val="16"/>
              </w:rPr>
              <w:t>e</w:t>
            </w:r>
            <w:r w:rsidRPr="00067004">
              <w:rPr>
                <w:rFonts w:ascii="Arial" w:hAnsi="Arial" w:cs="Arial"/>
                <w:sz w:val="16"/>
                <w:szCs w:val="16"/>
              </w:rPr>
              <w:t xml:space="preserve">llos que ya cubrieron la educación primaria y no tienen </w:t>
            </w:r>
            <w:r w:rsidR="00973C29" w:rsidRPr="00067004">
              <w:rPr>
                <w:rFonts w:ascii="Arial" w:hAnsi="Arial" w:cs="Arial"/>
                <w:sz w:val="16"/>
                <w:szCs w:val="16"/>
              </w:rPr>
              <w:t>la educación secundaria completa</w:t>
            </w:r>
            <w:r w:rsidRPr="00067004">
              <w:rPr>
                <w:rFonts w:ascii="Arial" w:hAnsi="Arial" w:cs="Arial"/>
                <w:sz w:val="16"/>
                <w:szCs w:val="16"/>
              </w:rPr>
              <w:t xml:space="preserve">. A este grupo también se le llama </w:t>
            </w:r>
            <w:r w:rsidRPr="00067004">
              <w:rPr>
                <w:rFonts w:ascii="Arial" w:hAnsi="Arial" w:cs="Arial"/>
                <w:i/>
                <w:sz w:val="16"/>
                <w:szCs w:val="16"/>
              </w:rPr>
              <w:t>población atendible en educación secundaria</w:t>
            </w:r>
            <w:r w:rsidRPr="00067004">
              <w:rPr>
                <w:rFonts w:ascii="Arial" w:hAnsi="Arial" w:cs="Arial"/>
                <w:sz w:val="16"/>
                <w:szCs w:val="16"/>
              </w:rPr>
              <w:t xml:space="preserve">. El segundo grupo incluye al número de jóvenes de 15 a 17 años que asisten a la educación media superior por cada </w:t>
            </w:r>
            <w:r w:rsidR="008C4BBB" w:rsidRPr="00067004">
              <w:rPr>
                <w:rFonts w:ascii="Arial" w:hAnsi="Arial" w:cs="Arial"/>
                <w:sz w:val="16"/>
                <w:szCs w:val="16"/>
              </w:rPr>
              <w:t>cien</w:t>
            </w:r>
            <w:r w:rsidRPr="00067004">
              <w:rPr>
                <w:rFonts w:ascii="Arial" w:hAnsi="Arial" w:cs="Arial"/>
                <w:sz w:val="16"/>
                <w:szCs w:val="16"/>
              </w:rPr>
              <w:t xml:space="preserve"> en el mismo grupo de edad que deberían </w:t>
            </w:r>
            <w:r w:rsidR="00EF0C9F" w:rsidRPr="00067004">
              <w:rPr>
                <w:rFonts w:ascii="Arial" w:hAnsi="Arial" w:cs="Arial"/>
                <w:sz w:val="16"/>
                <w:szCs w:val="16"/>
              </w:rPr>
              <w:t>asistir</w:t>
            </w:r>
            <w:r w:rsidRPr="00067004">
              <w:rPr>
                <w:rFonts w:ascii="Arial" w:hAnsi="Arial" w:cs="Arial"/>
                <w:sz w:val="16"/>
                <w:szCs w:val="16"/>
              </w:rPr>
              <w:t xml:space="preserve">, es decir, que ya completaron la educación secundaria y no tienen la educación media superior. A este grupo también se le conoce como </w:t>
            </w:r>
            <w:r w:rsidRPr="00067004">
              <w:rPr>
                <w:rFonts w:ascii="Arial" w:hAnsi="Arial" w:cs="Arial"/>
                <w:i/>
                <w:sz w:val="16"/>
                <w:szCs w:val="16"/>
              </w:rPr>
              <w:t>población atendible en educación media superior</w:t>
            </w:r>
            <w:r w:rsidRPr="00067004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AB7C92" w:rsidRPr="00067004">
              <w:rPr>
                <w:rFonts w:ascii="Arial" w:hAnsi="Arial" w:cs="Arial"/>
                <w:sz w:val="16"/>
                <w:szCs w:val="16"/>
              </w:rPr>
              <w:t xml:space="preserve">El tercer grupo corresponde a la cantidad de jóvenes de 18 a 24 años que asisten a la educación superior por cada cien del mismo grupo de edad, es decir, que han terminado la educación media superior y no tienen la educación superior. A este grupo también se le conoce como </w:t>
            </w:r>
            <w:r w:rsidR="00AB7C92" w:rsidRPr="00067004">
              <w:rPr>
                <w:rFonts w:ascii="Arial" w:hAnsi="Arial" w:cs="Arial"/>
                <w:i/>
                <w:sz w:val="16"/>
                <w:szCs w:val="16"/>
              </w:rPr>
              <w:t>población atendible en educación superior</w:t>
            </w:r>
            <w:r w:rsidR="00AB7C92" w:rsidRPr="00067004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02453D2A" w14:textId="249A8ECA" w:rsidR="00E615AE" w:rsidRPr="00067004" w:rsidRDefault="00E615AE" w:rsidP="00E615A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354832D3" w14:textId="5973CC92" w:rsidR="00DE3574" w:rsidRPr="00067004" w:rsidRDefault="00E615AE" w:rsidP="00AF701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67004">
              <w:rPr>
                <w:rFonts w:ascii="Arial" w:hAnsi="Arial" w:cs="Arial"/>
                <w:sz w:val="16"/>
                <w:szCs w:val="16"/>
              </w:rPr>
              <w:t xml:space="preserve">Se enfoca </w:t>
            </w:r>
            <w:r w:rsidR="00C8740B" w:rsidRPr="00067004">
              <w:rPr>
                <w:rFonts w:ascii="Arial" w:hAnsi="Arial" w:cs="Arial"/>
                <w:sz w:val="16"/>
                <w:szCs w:val="16"/>
              </w:rPr>
              <w:t>en los</w:t>
            </w:r>
            <w:r w:rsidRPr="00067004">
              <w:rPr>
                <w:rFonts w:ascii="Arial" w:hAnsi="Arial" w:cs="Arial"/>
                <w:sz w:val="16"/>
                <w:szCs w:val="16"/>
              </w:rPr>
              <w:t xml:space="preserve"> grupo</w:t>
            </w:r>
            <w:r w:rsidR="00C8740B" w:rsidRPr="00067004">
              <w:rPr>
                <w:rFonts w:ascii="Arial" w:hAnsi="Arial" w:cs="Arial"/>
                <w:sz w:val="16"/>
                <w:szCs w:val="16"/>
              </w:rPr>
              <w:t>s</w:t>
            </w:r>
            <w:r w:rsidRPr="00067004">
              <w:rPr>
                <w:rFonts w:ascii="Arial" w:hAnsi="Arial" w:cs="Arial"/>
                <w:sz w:val="16"/>
                <w:szCs w:val="16"/>
              </w:rPr>
              <w:t xml:space="preserve"> de 12 a 14 </w:t>
            </w:r>
            <w:r w:rsidR="00C8740B" w:rsidRPr="00067004">
              <w:rPr>
                <w:rFonts w:ascii="Arial" w:hAnsi="Arial" w:cs="Arial"/>
                <w:sz w:val="16"/>
                <w:szCs w:val="16"/>
              </w:rPr>
              <w:t xml:space="preserve">y de 15 a 17 </w:t>
            </w:r>
            <w:r w:rsidRPr="00067004">
              <w:rPr>
                <w:rFonts w:ascii="Arial" w:hAnsi="Arial" w:cs="Arial"/>
                <w:sz w:val="16"/>
                <w:szCs w:val="16"/>
              </w:rPr>
              <w:t>años</w:t>
            </w:r>
            <w:r w:rsidR="0026797F" w:rsidRPr="00067004">
              <w:rPr>
                <w:rFonts w:ascii="Arial" w:hAnsi="Arial" w:cs="Arial"/>
                <w:sz w:val="16"/>
                <w:szCs w:val="16"/>
              </w:rPr>
              <w:t>,</w:t>
            </w:r>
            <w:r w:rsidRPr="00067004">
              <w:rPr>
                <w:rFonts w:ascii="Arial" w:hAnsi="Arial" w:cs="Arial"/>
                <w:sz w:val="16"/>
                <w:szCs w:val="16"/>
              </w:rPr>
              <w:t xml:space="preserve"> porque </w:t>
            </w:r>
            <w:r w:rsidR="00C8740B" w:rsidRPr="00067004">
              <w:rPr>
                <w:rFonts w:ascii="Arial" w:hAnsi="Arial" w:cs="Arial"/>
                <w:sz w:val="16"/>
                <w:szCs w:val="16"/>
              </w:rPr>
              <w:t>son</w:t>
            </w:r>
            <w:r w:rsidRPr="00067004">
              <w:rPr>
                <w:rFonts w:ascii="Arial" w:hAnsi="Arial" w:cs="Arial"/>
                <w:sz w:val="16"/>
                <w:szCs w:val="16"/>
              </w:rPr>
              <w:t xml:space="preserve"> la</w:t>
            </w:r>
            <w:r w:rsidR="00C8740B" w:rsidRPr="00067004">
              <w:rPr>
                <w:rFonts w:ascii="Arial" w:hAnsi="Arial" w:cs="Arial"/>
                <w:sz w:val="16"/>
                <w:szCs w:val="16"/>
              </w:rPr>
              <w:t>s</w:t>
            </w:r>
            <w:r w:rsidRPr="00067004">
              <w:rPr>
                <w:rFonts w:ascii="Arial" w:hAnsi="Arial" w:cs="Arial"/>
                <w:sz w:val="16"/>
                <w:szCs w:val="16"/>
              </w:rPr>
              <w:t xml:space="preserve"> edad</w:t>
            </w:r>
            <w:r w:rsidR="00C8740B" w:rsidRPr="00067004">
              <w:rPr>
                <w:rFonts w:ascii="Arial" w:hAnsi="Arial" w:cs="Arial"/>
                <w:sz w:val="16"/>
                <w:szCs w:val="16"/>
              </w:rPr>
              <w:t>es</w:t>
            </w:r>
            <w:r w:rsidRPr="0006700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F7017" w:rsidRPr="00067004">
              <w:rPr>
                <w:rFonts w:ascii="Arial" w:hAnsi="Arial" w:cs="Arial"/>
                <w:sz w:val="16"/>
                <w:szCs w:val="16"/>
              </w:rPr>
              <w:t>idóneas</w:t>
            </w:r>
            <w:r w:rsidRPr="00067004">
              <w:rPr>
                <w:rFonts w:ascii="Arial" w:hAnsi="Arial" w:cs="Arial"/>
                <w:sz w:val="16"/>
                <w:szCs w:val="16"/>
              </w:rPr>
              <w:t xml:space="preserve"> para cursar </w:t>
            </w:r>
            <w:r w:rsidR="00DC0A2D" w:rsidRPr="00067004">
              <w:rPr>
                <w:rFonts w:ascii="Arial" w:hAnsi="Arial" w:cs="Arial"/>
                <w:sz w:val="16"/>
                <w:szCs w:val="16"/>
              </w:rPr>
              <w:t xml:space="preserve">tanto </w:t>
            </w:r>
            <w:r w:rsidRPr="00067004">
              <w:rPr>
                <w:rFonts w:ascii="Arial" w:hAnsi="Arial" w:cs="Arial"/>
                <w:sz w:val="16"/>
                <w:szCs w:val="16"/>
              </w:rPr>
              <w:t>educación secundaria</w:t>
            </w:r>
            <w:r w:rsidR="00C8740B" w:rsidRPr="0006700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C0A2D" w:rsidRPr="00067004">
              <w:rPr>
                <w:rFonts w:ascii="Arial" w:hAnsi="Arial" w:cs="Arial"/>
                <w:sz w:val="16"/>
                <w:szCs w:val="16"/>
              </w:rPr>
              <w:t>como</w:t>
            </w:r>
            <w:r w:rsidR="00FA5922" w:rsidRPr="00067004">
              <w:rPr>
                <w:rFonts w:ascii="Arial" w:hAnsi="Arial" w:cs="Arial"/>
                <w:sz w:val="16"/>
                <w:szCs w:val="16"/>
              </w:rPr>
              <w:t xml:space="preserve"> educación </w:t>
            </w:r>
            <w:r w:rsidR="00C8740B" w:rsidRPr="00067004">
              <w:rPr>
                <w:rFonts w:ascii="Arial" w:hAnsi="Arial" w:cs="Arial"/>
                <w:sz w:val="16"/>
                <w:szCs w:val="16"/>
              </w:rPr>
              <w:t>media superior</w:t>
            </w:r>
            <w:r w:rsidR="00A76F9C" w:rsidRPr="00067004">
              <w:rPr>
                <w:rFonts w:ascii="Arial" w:hAnsi="Arial" w:cs="Arial"/>
                <w:sz w:val="16"/>
                <w:szCs w:val="16"/>
              </w:rPr>
              <w:t>.</w:t>
            </w:r>
            <w:r w:rsidR="00AB7C92" w:rsidRPr="00067004">
              <w:rPr>
                <w:rFonts w:ascii="Arial" w:hAnsi="Arial" w:cs="Arial"/>
                <w:sz w:val="16"/>
                <w:szCs w:val="16"/>
              </w:rPr>
              <w:t xml:space="preserve"> Además, dado el contexto de la reforma constitucional más reciente en </w:t>
            </w:r>
            <w:r w:rsidR="00610465" w:rsidRPr="00067004">
              <w:rPr>
                <w:rFonts w:ascii="Arial" w:hAnsi="Arial" w:cs="Arial"/>
                <w:sz w:val="16"/>
                <w:szCs w:val="16"/>
              </w:rPr>
              <w:t>la</w:t>
            </w:r>
            <w:r w:rsidR="00AB7C92" w:rsidRPr="00067004">
              <w:rPr>
                <w:rFonts w:ascii="Arial" w:hAnsi="Arial" w:cs="Arial"/>
                <w:sz w:val="16"/>
                <w:szCs w:val="16"/>
              </w:rPr>
              <w:t xml:space="preserve"> que </w:t>
            </w:r>
            <w:r w:rsidR="00610465" w:rsidRPr="00067004">
              <w:rPr>
                <w:rFonts w:ascii="Arial" w:hAnsi="Arial" w:cs="Arial"/>
                <w:sz w:val="16"/>
                <w:szCs w:val="16"/>
              </w:rPr>
              <w:t xml:space="preserve">se </w:t>
            </w:r>
            <w:r w:rsidR="00AB7C92" w:rsidRPr="00067004">
              <w:rPr>
                <w:rFonts w:ascii="Arial" w:hAnsi="Arial" w:cs="Arial"/>
                <w:sz w:val="16"/>
                <w:szCs w:val="16"/>
              </w:rPr>
              <w:t>estableció la obligatoriedad de la educación superior, se incluye el grupo de edad 18 a 24 años.</w:t>
            </w:r>
          </w:p>
        </w:tc>
      </w:tr>
      <w:tr w:rsidR="00DE3574" w:rsidRPr="00A00339" w14:paraId="3935E01C" w14:textId="77777777">
        <w:trPr>
          <w:trHeight w:val="1530"/>
        </w:trPr>
        <w:tc>
          <w:tcPr>
            <w:tcW w:w="5000" w:type="pct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left w:w="57" w:type="dxa"/>
              <w:bottom w:w="85" w:type="dxa"/>
              <w:right w:w="57" w:type="dxa"/>
            </w:tcMar>
          </w:tcPr>
          <w:p w14:paraId="02CADA4F" w14:textId="77777777" w:rsidR="00AB6F72" w:rsidRPr="00067004" w:rsidRDefault="00D7548B" w:rsidP="00AB6F7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67004">
              <w:rPr>
                <w:rFonts w:ascii="Arial" w:hAnsi="Arial" w:cs="Arial"/>
                <w:b/>
                <w:sz w:val="16"/>
                <w:szCs w:val="16"/>
              </w:rPr>
              <w:t>F</w:t>
            </w:r>
            <w:r w:rsidR="00B508EE" w:rsidRPr="00067004">
              <w:rPr>
                <w:rFonts w:ascii="Arial" w:hAnsi="Arial" w:cs="Arial"/>
                <w:b/>
                <w:sz w:val="16"/>
                <w:szCs w:val="16"/>
              </w:rPr>
              <w:t>ó</w:t>
            </w:r>
            <w:r w:rsidR="000A14F6" w:rsidRPr="00067004">
              <w:rPr>
                <w:rFonts w:ascii="Arial" w:hAnsi="Arial" w:cs="Arial"/>
                <w:b/>
                <w:sz w:val="16"/>
                <w:szCs w:val="16"/>
              </w:rPr>
              <w:t>rmula de cálculo</w:t>
            </w:r>
          </w:p>
          <w:p w14:paraId="3B25B894" w14:textId="77777777" w:rsidR="00AB6F72" w:rsidRPr="00067004" w:rsidRDefault="00C160EA" w:rsidP="00AB6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7004">
              <w:rPr>
                <w:rFonts w:ascii="Arial" w:hAnsi="Arial" w:cs="Arial"/>
                <w:position w:val="-32"/>
                <w:sz w:val="16"/>
                <w:szCs w:val="16"/>
              </w:rPr>
              <w:object w:dxaOrig="1160" w:dyaOrig="760" w14:anchorId="5BBD03B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in;height:44.25pt" o:ole="" fillcolor="window">
                  <v:imagedata r:id="rId9" o:title=""/>
                </v:shape>
                <o:OLEObject Type="Embed" ProgID="Equation.3" ShapeID="_x0000_i1025" DrawAspect="Content" ObjectID="_1620457635" r:id="rId10"/>
              </w:object>
            </w:r>
          </w:p>
          <w:tbl>
            <w:tblPr>
              <w:tblW w:w="0" w:type="auto"/>
              <w:jc w:val="center"/>
              <w:tblLook w:val="01E0" w:firstRow="1" w:lastRow="1" w:firstColumn="1" w:lastColumn="1" w:noHBand="0" w:noVBand="0"/>
            </w:tblPr>
            <w:tblGrid>
              <w:gridCol w:w="611"/>
              <w:gridCol w:w="8168"/>
            </w:tblGrid>
            <w:tr w:rsidR="00122FBF" w:rsidRPr="00067004" w14:paraId="13277F0C" w14:textId="77777777" w:rsidTr="00C65AC4">
              <w:trPr>
                <w:trHeight w:val="60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28" w:type="dxa"/>
                    <w:right w:w="28" w:type="dxa"/>
                  </w:tcMar>
                </w:tcPr>
                <w:p w14:paraId="3126E23B" w14:textId="77777777" w:rsidR="00122FBF" w:rsidRPr="00067004" w:rsidRDefault="00122FBF" w:rsidP="00C65AC4">
                  <w:pPr>
                    <w:jc w:val="center"/>
                    <w:rPr>
                      <w:rFonts w:ascii="Arial" w:hAnsi="Arial" w:cs="Arial"/>
                      <w:i/>
                      <w:position w:val="-6"/>
                      <w:sz w:val="20"/>
                      <w:szCs w:val="20"/>
                    </w:rPr>
                  </w:pPr>
                  <w:r w:rsidRPr="00067004">
                    <w:rPr>
                      <w:rFonts w:ascii="Arial" w:hAnsi="Arial" w:cs="Arial"/>
                      <w:i/>
                      <w:position w:val="-6"/>
                      <w:sz w:val="20"/>
                      <w:szCs w:val="20"/>
                    </w:rPr>
                    <w:t>ge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C1C175" w14:textId="3DEA1811" w:rsidR="00122FBF" w:rsidRPr="00067004" w:rsidRDefault="008C4BBB" w:rsidP="00122FB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67004">
                    <w:rPr>
                      <w:rFonts w:ascii="Arial" w:hAnsi="Arial" w:cs="Arial"/>
                      <w:sz w:val="16"/>
                      <w:szCs w:val="16"/>
                    </w:rPr>
                    <w:t xml:space="preserve">Grupos de edad: 12 a 14 y 15 a </w:t>
                  </w:r>
                  <w:r w:rsidR="00122FBF" w:rsidRPr="00067004">
                    <w:rPr>
                      <w:rFonts w:ascii="Arial" w:hAnsi="Arial" w:cs="Arial"/>
                      <w:sz w:val="16"/>
                      <w:szCs w:val="16"/>
                    </w:rPr>
                    <w:t>17 años</w:t>
                  </w:r>
                  <w:r w:rsidR="004E5AF9" w:rsidRPr="00067004">
                    <w:rPr>
                      <w:rFonts w:ascii="Arial" w:hAnsi="Arial" w:cs="Arial"/>
                      <w:sz w:val="16"/>
                      <w:szCs w:val="16"/>
                    </w:rPr>
                    <w:t xml:space="preserve"> (como información complementaria 18 a 24 años)</w:t>
                  </w:r>
                  <w:r w:rsidR="00122FBF" w:rsidRPr="00067004"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  <w:r w:rsidR="004E5AF9" w:rsidRPr="00067004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1217B7" w:rsidRPr="00067004" w14:paraId="19C63796" w14:textId="77777777">
              <w:trPr>
                <w:trHeight w:val="60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28" w:type="dxa"/>
                    <w:right w:w="28" w:type="dxa"/>
                  </w:tcMar>
                </w:tcPr>
                <w:p w14:paraId="6D41A528" w14:textId="77777777" w:rsidR="00AB6F72" w:rsidRPr="00067004" w:rsidRDefault="004335EB" w:rsidP="004335EB">
                  <w:pPr>
                    <w:jc w:val="center"/>
                    <w:rPr>
                      <w:rFonts w:ascii="Arial" w:hAnsi="Arial" w:cs="Arial"/>
                      <w:i/>
                      <w:position w:val="-6"/>
                      <w:sz w:val="20"/>
                      <w:szCs w:val="20"/>
                    </w:rPr>
                  </w:pPr>
                  <w:proofErr w:type="spellStart"/>
                  <w:r w:rsidRPr="00067004">
                    <w:rPr>
                      <w:rFonts w:ascii="Arial" w:hAnsi="Arial" w:cs="Arial"/>
                      <w:i/>
                      <w:position w:val="-6"/>
                      <w:sz w:val="20"/>
                      <w:szCs w:val="20"/>
                    </w:rPr>
                    <w:t>niv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69D969" w14:textId="77777777" w:rsidR="00AB6F72" w:rsidRPr="00067004" w:rsidRDefault="001217B7" w:rsidP="00122FB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67004">
                    <w:rPr>
                      <w:rFonts w:ascii="Arial" w:hAnsi="Arial" w:cs="Arial"/>
                      <w:sz w:val="16"/>
                      <w:szCs w:val="16"/>
                    </w:rPr>
                    <w:t>Nivel o ti</w:t>
                  </w:r>
                  <w:r w:rsidR="009C2419" w:rsidRPr="00067004">
                    <w:rPr>
                      <w:rFonts w:ascii="Arial" w:hAnsi="Arial" w:cs="Arial"/>
                      <w:sz w:val="16"/>
                      <w:szCs w:val="16"/>
                    </w:rPr>
                    <w:t>po educativo: secundaria y media</w:t>
                  </w:r>
                  <w:r w:rsidRPr="00067004">
                    <w:rPr>
                      <w:rFonts w:ascii="Arial" w:hAnsi="Arial" w:cs="Arial"/>
                      <w:sz w:val="16"/>
                      <w:szCs w:val="16"/>
                    </w:rPr>
                    <w:t xml:space="preserve"> superior.</w:t>
                  </w:r>
                </w:p>
              </w:tc>
            </w:tr>
            <w:tr w:rsidR="001217B7" w:rsidRPr="00067004" w14:paraId="01D7476E" w14:textId="77777777">
              <w:trPr>
                <w:trHeight w:val="60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28" w:type="dxa"/>
                    <w:right w:w="28" w:type="dxa"/>
                  </w:tcMar>
                </w:tcPr>
                <w:p w14:paraId="644F2FEF" w14:textId="77777777" w:rsidR="001217B7" w:rsidRPr="00067004" w:rsidRDefault="00122FBF" w:rsidP="004335EB">
                  <w:pPr>
                    <w:jc w:val="center"/>
                    <w:rPr>
                      <w:rFonts w:ascii="Arial" w:hAnsi="Arial" w:cs="Arial"/>
                      <w:i/>
                      <w:position w:val="-6"/>
                      <w:sz w:val="20"/>
                      <w:szCs w:val="20"/>
                    </w:rPr>
                  </w:pPr>
                  <w:r w:rsidRPr="00067004">
                    <w:rPr>
                      <w:position w:val="-14"/>
                    </w:rPr>
                    <w:object w:dxaOrig="600" w:dyaOrig="400" w14:anchorId="7D43AF7C">
                      <v:shape id="_x0000_i1026" type="#_x0000_t75" style="width:27.75pt;height:21.75pt" o:ole="">
                        <v:imagedata r:id="rId11" o:title=""/>
                      </v:shape>
                      <o:OLEObject Type="Embed" ProgID="Equation.3" ShapeID="_x0000_i1026" DrawAspect="Content" ObjectID="_1620457636" r:id="rId12"/>
                    </w:objec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CEED7BD" w14:textId="77777777" w:rsidR="006A12C0" w:rsidRPr="00067004" w:rsidRDefault="00122FBF" w:rsidP="00122FB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67004">
                    <w:rPr>
                      <w:rFonts w:ascii="Arial" w:hAnsi="Arial" w:cs="Arial"/>
                      <w:sz w:val="16"/>
                      <w:szCs w:val="16"/>
                    </w:rPr>
                    <w:t xml:space="preserve">Población en el grupo de edad </w:t>
                  </w:r>
                  <w:r w:rsidRPr="00067004">
                    <w:rPr>
                      <w:rFonts w:ascii="Arial" w:hAnsi="Arial" w:cs="Arial"/>
                      <w:i/>
                      <w:sz w:val="16"/>
                      <w:szCs w:val="16"/>
                    </w:rPr>
                    <w:t>ge</w:t>
                  </w:r>
                  <w:r w:rsidRPr="00067004">
                    <w:rPr>
                      <w:rFonts w:ascii="Arial" w:hAnsi="Arial" w:cs="Arial"/>
                      <w:sz w:val="16"/>
                      <w:szCs w:val="16"/>
                    </w:rPr>
                    <w:t xml:space="preserve"> que asiste al nivel o tipo educativo </w:t>
                  </w:r>
                  <w:proofErr w:type="spellStart"/>
                  <w:r w:rsidRPr="00067004">
                    <w:rPr>
                      <w:rFonts w:ascii="Arial" w:hAnsi="Arial" w:cs="Arial"/>
                      <w:i/>
                      <w:sz w:val="16"/>
                      <w:szCs w:val="16"/>
                    </w:rPr>
                    <w:t>niv</w:t>
                  </w:r>
                  <w:proofErr w:type="spellEnd"/>
                  <w:r w:rsidRPr="00067004"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</w:tr>
            <w:tr w:rsidR="001217B7" w:rsidRPr="00067004" w14:paraId="7A7167E6" w14:textId="77777777">
              <w:trPr>
                <w:trHeight w:val="60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28" w:type="dxa"/>
                    <w:right w:w="28" w:type="dxa"/>
                  </w:tcMar>
                </w:tcPr>
                <w:p w14:paraId="3ADBEB4D" w14:textId="77777777" w:rsidR="001217B7" w:rsidRPr="00067004" w:rsidRDefault="00122FBF" w:rsidP="004335EB">
                  <w:pPr>
                    <w:jc w:val="center"/>
                  </w:pPr>
                  <w:r w:rsidRPr="00067004">
                    <w:rPr>
                      <w:position w:val="-14"/>
                    </w:rPr>
                    <w:object w:dxaOrig="600" w:dyaOrig="380" w14:anchorId="28B01080">
                      <v:shape id="_x0000_i1027" type="#_x0000_t75" style="width:27.75pt;height:21.75pt" o:ole="">
                        <v:imagedata r:id="rId13" o:title=""/>
                      </v:shape>
                      <o:OLEObject Type="Embed" ProgID="Equation.3" ShapeID="_x0000_i1027" DrawAspect="Content" ObjectID="_1620457637" r:id="rId14"/>
                    </w:objec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1DEC67D" w14:textId="77777777" w:rsidR="001217B7" w:rsidRPr="00067004" w:rsidRDefault="00122FBF" w:rsidP="00122FB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67004">
                    <w:rPr>
                      <w:rFonts w:ascii="Arial" w:hAnsi="Arial" w:cs="Arial"/>
                      <w:sz w:val="16"/>
                      <w:szCs w:val="16"/>
                    </w:rPr>
                    <w:t xml:space="preserve">Población en el grupo de edad </w:t>
                  </w:r>
                  <w:r w:rsidRPr="00067004">
                    <w:rPr>
                      <w:rFonts w:ascii="Arial" w:hAnsi="Arial" w:cs="Arial"/>
                      <w:i/>
                      <w:sz w:val="16"/>
                      <w:szCs w:val="16"/>
                    </w:rPr>
                    <w:t>ge</w:t>
                  </w:r>
                  <w:r w:rsidRPr="00067004">
                    <w:rPr>
                      <w:rFonts w:ascii="Arial" w:hAnsi="Arial" w:cs="Arial"/>
                      <w:sz w:val="16"/>
                      <w:szCs w:val="16"/>
                    </w:rPr>
                    <w:t xml:space="preserve"> que cumple con los prerrequisitos para poder asistir al nivel o tipo educativo </w:t>
                  </w:r>
                  <w:proofErr w:type="spellStart"/>
                  <w:r w:rsidRPr="00067004">
                    <w:rPr>
                      <w:rFonts w:ascii="Arial" w:hAnsi="Arial" w:cs="Arial"/>
                      <w:i/>
                      <w:sz w:val="16"/>
                      <w:szCs w:val="16"/>
                    </w:rPr>
                    <w:t>niv</w:t>
                  </w:r>
                  <w:proofErr w:type="spellEnd"/>
                  <w:r w:rsidR="001217B7" w:rsidRPr="00067004"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</w:tr>
          </w:tbl>
          <w:p w14:paraId="6BABCF20" w14:textId="77777777" w:rsidR="00DE3574" w:rsidRPr="00067004" w:rsidRDefault="00DE3574" w:rsidP="008B49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3574" w:rsidRPr="00A00339" w14:paraId="45C56E07" w14:textId="77777777">
        <w:trPr>
          <w:trHeight w:val="563"/>
        </w:trPr>
        <w:tc>
          <w:tcPr>
            <w:tcW w:w="5000" w:type="pct"/>
            <w:vMerge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left w:w="57" w:type="dxa"/>
              <w:bottom w:w="85" w:type="dxa"/>
              <w:right w:w="57" w:type="dxa"/>
            </w:tcMar>
          </w:tcPr>
          <w:p w14:paraId="62E351C9" w14:textId="77777777" w:rsidR="00DE3574" w:rsidRPr="00067004" w:rsidRDefault="00DE3574" w:rsidP="008B4998">
            <w:pPr>
              <w:ind w:right="-7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3574" w:rsidRPr="00A00339" w14:paraId="1E73AE88" w14:textId="77777777">
        <w:trPr>
          <w:trHeight w:val="629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left w:w="57" w:type="dxa"/>
              <w:bottom w:w="85" w:type="dxa"/>
              <w:right w:w="57" w:type="dxa"/>
            </w:tcMar>
            <w:vAlign w:val="center"/>
          </w:tcPr>
          <w:p w14:paraId="421ACC7F" w14:textId="77777777" w:rsidR="00DE3574" w:rsidRPr="00067004" w:rsidRDefault="000A14F6" w:rsidP="008B4998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bookmarkStart w:id="0" w:name="_Hlk5482766"/>
            <w:r w:rsidRPr="00067004">
              <w:rPr>
                <w:rFonts w:ascii="Arial" w:hAnsi="Arial" w:cs="Arial"/>
                <w:b/>
                <w:sz w:val="16"/>
                <w:szCs w:val="16"/>
              </w:rPr>
              <w:t>Interpretación</w:t>
            </w:r>
          </w:p>
          <w:p w14:paraId="762CE46E" w14:textId="3CC1151F" w:rsidR="008F140A" w:rsidRPr="00067004" w:rsidRDefault="00E615AE" w:rsidP="00E615AE">
            <w:pPr>
              <w:pStyle w:val="Encabezado"/>
              <w:tabs>
                <w:tab w:val="left" w:pos="4500"/>
                <w:tab w:val="left" w:pos="4680"/>
              </w:tabs>
              <w:jc w:val="both"/>
              <w:rPr>
                <w:rFonts w:cs="Arial"/>
                <w:sz w:val="16"/>
                <w:szCs w:val="16"/>
              </w:rPr>
            </w:pPr>
            <w:bookmarkStart w:id="1" w:name="_Hlk5483942"/>
            <w:r w:rsidRPr="00067004">
              <w:rPr>
                <w:rFonts w:cs="Arial"/>
                <w:sz w:val="16"/>
                <w:szCs w:val="16"/>
              </w:rPr>
              <w:t>En el caso de</w:t>
            </w:r>
            <w:r w:rsidR="00E75EF0" w:rsidRPr="00067004">
              <w:rPr>
                <w:rFonts w:cs="Arial"/>
                <w:sz w:val="16"/>
                <w:szCs w:val="16"/>
              </w:rPr>
              <w:t xml:space="preserve"> </w:t>
            </w:r>
            <w:r w:rsidRPr="00067004">
              <w:rPr>
                <w:rFonts w:cs="Arial"/>
                <w:sz w:val="16"/>
                <w:szCs w:val="16"/>
              </w:rPr>
              <w:t>la población de 12 a 14 años, el indicador mide la tasa de asistencia escolar a</w:t>
            </w:r>
            <w:r w:rsidR="00355098" w:rsidRPr="00067004">
              <w:rPr>
                <w:rFonts w:cs="Arial"/>
                <w:sz w:val="16"/>
                <w:szCs w:val="16"/>
              </w:rPr>
              <w:t>l</w:t>
            </w:r>
            <w:r w:rsidR="00AB7C92" w:rsidRPr="00067004">
              <w:rPr>
                <w:rFonts w:cs="Arial"/>
                <w:sz w:val="16"/>
                <w:szCs w:val="16"/>
              </w:rPr>
              <w:t xml:space="preserve"> nivel de</w:t>
            </w:r>
            <w:r w:rsidR="00355098" w:rsidRPr="00067004">
              <w:rPr>
                <w:rFonts w:cs="Arial"/>
                <w:sz w:val="16"/>
                <w:szCs w:val="16"/>
              </w:rPr>
              <w:t xml:space="preserve"> </w:t>
            </w:r>
            <w:r w:rsidRPr="00067004">
              <w:rPr>
                <w:rFonts w:cs="Arial"/>
                <w:sz w:val="16"/>
                <w:szCs w:val="16"/>
              </w:rPr>
              <w:t>secundaria de aquellos niños en esa</w:t>
            </w:r>
            <w:r w:rsidR="008F140A" w:rsidRPr="00067004">
              <w:rPr>
                <w:rFonts w:cs="Arial"/>
                <w:sz w:val="16"/>
                <w:szCs w:val="16"/>
              </w:rPr>
              <w:t>s</w:t>
            </w:r>
            <w:r w:rsidRPr="00067004">
              <w:rPr>
                <w:rFonts w:cs="Arial"/>
                <w:sz w:val="16"/>
                <w:szCs w:val="16"/>
              </w:rPr>
              <w:t xml:space="preserve"> misma</w:t>
            </w:r>
            <w:r w:rsidR="008F140A" w:rsidRPr="00067004">
              <w:rPr>
                <w:rFonts w:cs="Arial"/>
                <w:sz w:val="16"/>
                <w:szCs w:val="16"/>
              </w:rPr>
              <w:t>s</w:t>
            </w:r>
            <w:r w:rsidRPr="00067004">
              <w:rPr>
                <w:rFonts w:cs="Arial"/>
                <w:sz w:val="16"/>
                <w:szCs w:val="16"/>
              </w:rPr>
              <w:t xml:space="preserve"> edad</w:t>
            </w:r>
            <w:r w:rsidR="008F140A" w:rsidRPr="00067004">
              <w:rPr>
                <w:rFonts w:cs="Arial"/>
                <w:sz w:val="16"/>
                <w:szCs w:val="16"/>
              </w:rPr>
              <w:t>es</w:t>
            </w:r>
            <w:r w:rsidRPr="00067004">
              <w:rPr>
                <w:rFonts w:cs="Arial"/>
                <w:sz w:val="16"/>
                <w:szCs w:val="16"/>
              </w:rPr>
              <w:t xml:space="preserve"> que ya finalizaron la educación primaria.</w:t>
            </w:r>
            <w:r w:rsidR="008F140A" w:rsidRPr="00067004">
              <w:rPr>
                <w:rFonts w:cs="Arial"/>
                <w:sz w:val="16"/>
                <w:szCs w:val="16"/>
              </w:rPr>
              <w:t xml:space="preserve"> A medida que el valor del indicador se acerque a 100%, significará una absorción completa de la población que ya culminó sus estudios de educación primaria.</w:t>
            </w:r>
          </w:p>
          <w:p w14:paraId="5EB5CDB9" w14:textId="77777777" w:rsidR="008F140A" w:rsidRPr="00067004" w:rsidRDefault="008F140A" w:rsidP="00E615AE">
            <w:pPr>
              <w:pStyle w:val="Encabezado"/>
              <w:tabs>
                <w:tab w:val="left" w:pos="4500"/>
                <w:tab w:val="left" w:pos="4680"/>
              </w:tabs>
              <w:jc w:val="both"/>
              <w:rPr>
                <w:rFonts w:cs="Arial"/>
                <w:sz w:val="16"/>
                <w:szCs w:val="16"/>
              </w:rPr>
            </w:pPr>
          </w:p>
          <w:p w14:paraId="192408B1" w14:textId="0FD2C9DB" w:rsidR="00E615AE" w:rsidRPr="00067004" w:rsidRDefault="008F140A" w:rsidP="00E615AE">
            <w:pPr>
              <w:pStyle w:val="Encabezado"/>
              <w:tabs>
                <w:tab w:val="left" w:pos="4500"/>
                <w:tab w:val="left" w:pos="4680"/>
              </w:tabs>
              <w:jc w:val="both"/>
              <w:rPr>
                <w:rFonts w:cs="Arial"/>
                <w:sz w:val="16"/>
                <w:szCs w:val="16"/>
              </w:rPr>
            </w:pPr>
            <w:r w:rsidRPr="00067004">
              <w:rPr>
                <w:rFonts w:cs="Arial"/>
                <w:sz w:val="16"/>
                <w:szCs w:val="16"/>
              </w:rPr>
              <w:t xml:space="preserve">En cuanto </w:t>
            </w:r>
            <w:r w:rsidR="00E615AE" w:rsidRPr="00067004">
              <w:rPr>
                <w:rFonts w:cs="Arial"/>
                <w:sz w:val="16"/>
                <w:szCs w:val="16"/>
              </w:rPr>
              <w:t xml:space="preserve">a los </w:t>
            </w:r>
            <w:r w:rsidR="00355098" w:rsidRPr="00067004">
              <w:rPr>
                <w:rFonts w:cs="Arial"/>
                <w:sz w:val="16"/>
                <w:szCs w:val="16"/>
              </w:rPr>
              <w:t xml:space="preserve">jóvenes </w:t>
            </w:r>
            <w:r w:rsidR="00E615AE" w:rsidRPr="00067004">
              <w:rPr>
                <w:rFonts w:cs="Arial"/>
                <w:sz w:val="16"/>
                <w:szCs w:val="16"/>
              </w:rPr>
              <w:t>de 15 a 17 años, el indicador cuantifica la tasa de asistencia escolar al</w:t>
            </w:r>
            <w:r w:rsidR="00AB7C92" w:rsidRPr="00067004">
              <w:rPr>
                <w:rFonts w:cs="Arial"/>
                <w:sz w:val="16"/>
                <w:szCs w:val="16"/>
              </w:rPr>
              <w:t xml:space="preserve"> tipo educativo de </w:t>
            </w:r>
            <w:r w:rsidR="00E615AE" w:rsidRPr="00067004">
              <w:rPr>
                <w:rFonts w:cs="Arial"/>
                <w:sz w:val="16"/>
                <w:szCs w:val="16"/>
              </w:rPr>
              <w:t xml:space="preserve">media superior de aquellos jóvenes </w:t>
            </w:r>
            <w:r w:rsidRPr="00067004">
              <w:rPr>
                <w:rFonts w:cs="Arial"/>
                <w:sz w:val="16"/>
                <w:szCs w:val="16"/>
              </w:rPr>
              <w:t>en ese rango de</w:t>
            </w:r>
            <w:r w:rsidR="00E615AE" w:rsidRPr="00067004">
              <w:rPr>
                <w:rFonts w:cs="Arial"/>
                <w:sz w:val="16"/>
                <w:szCs w:val="16"/>
              </w:rPr>
              <w:t xml:space="preserve"> edad</w:t>
            </w:r>
            <w:r w:rsidR="00A44D67" w:rsidRPr="00067004">
              <w:rPr>
                <w:rFonts w:cs="Arial"/>
                <w:sz w:val="16"/>
                <w:szCs w:val="16"/>
              </w:rPr>
              <w:t xml:space="preserve"> típico</w:t>
            </w:r>
            <w:r w:rsidR="00E615AE" w:rsidRPr="00067004">
              <w:rPr>
                <w:rFonts w:cs="Arial"/>
                <w:sz w:val="16"/>
                <w:szCs w:val="16"/>
              </w:rPr>
              <w:t xml:space="preserve"> que ya completaron la educación básica. </w:t>
            </w:r>
            <w:r w:rsidR="00A44D67" w:rsidRPr="00067004">
              <w:rPr>
                <w:rFonts w:cs="Arial"/>
                <w:sz w:val="16"/>
                <w:szCs w:val="16"/>
              </w:rPr>
              <w:t>A</w:t>
            </w:r>
            <w:r w:rsidR="00E615AE" w:rsidRPr="00067004">
              <w:rPr>
                <w:rFonts w:cs="Arial"/>
                <w:sz w:val="16"/>
                <w:szCs w:val="16"/>
              </w:rPr>
              <w:t xml:space="preserve"> medida que la tasa sea mayor, indicará que se está cumpliendo con la obligatoriedad de la educación media superior. En este nuevo contexto</w:t>
            </w:r>
            <w:r w:rsidR="00E75EF0" w:rsidRPr="00067004">
              <w:rPr>
                <w:rFonts w:cs="Arial"/>
                <w:sz w:val="16"/>
                <w:szCs w:val="16"/>
              </w:rPr>
              <w:t xml:space="preserve"> </w:t>
            </w:r>
            <w:r w:rsidR="00E615AE" w:rsidRPr="00067004">
              <w:rPr>
                <w:rFonts w:cs="Arial"/>
                <w:sz w:val="16"/>
                <w:szCs w:val="16"/>
              </w:rPr>
              <w:t>se espera que la totalidad de los jóvenes entre 15 y 17 años egresados de la educación básica asista a la educación media superior para el ciclo</w:t>
            </w:r>
            <w:r w:rsidR="005A60EF" w:rsidRPr="00067004">
              <w:rPr>
                <w:rFonts w:cs="Arial"/>
                <w:sz w:val="16"/>
                <w:szCs w:val="16"/>
              </w:rPr>
              <w:t xml:space="preserve"> escolar</w:t>
            </w:r>
            <w:r w:rsidR="00E615AE" w:rsidRPr="00067004">
              <w:rPr>
                <w:rFonts w:cs="Arial"/>
                <w:sz w:val="16"/>
                <w:szCs w:val="16"/>
              </w:rPr>
              <w:t xml:space="preserve"> </w:t>
            </w:r>
            <w:r w:rsidR="0088060F" w:rsidRPr="00067004">
              <w:rPr>
                <w:rFonts w:cs="Arial"/>
                <w:sz w:val="16"/>
                <w:szCs w:val="16"/>
              </w:rPr>
              <w:t>2021-</w:t>
            </w:r>
            <w:r w:rsidR="00E615AE" w:rsidRPr="00067004">
              <w:rPr>
                <w:rFonts w:cs="Arial"/>
                <w:sz w:val="16"/>
                <w:szCs w:val="16"/>
              </w:rPr>
              <w:t>2022.</w:t>
            </w:r>
            <w:bookmarkEnd w:id="1"/>
          </w:p>
          <w:p w14:paraId="12F7DC08" w14:textId="77777777" w:rsidR="00AB7C92" w:rsidRPr="00067004" w:rsidRDefault="00AB7C92" w:rsidP="00E615AE">
            <w:pPr>
              <w:pStyle w:val="Encabezado"/>
              <w:tabs>
                <w:tab w:val="left" w:pos="4500"/>
                <w:tab w:val="left" w:pos="4680"/>
              </w:tabs>
              <w:jc w:val="both"/>
              <w:rPr>
                <w:rFonts w:cs="Arial"/>
                <w:sz w:val="16"/>
                <w:szCs w:val="16"/>
              </w:rPr>
            </w:pPr>
          </w:p>
          <w:p w14:paraId="3E48ACE6" w14:textId="77777777" w:rsidR="00AB7C92" w:rsidRPr="00067004" w:rsidRDefault="00AB7C92" w:rsidP="00AB7C92">
            <w:pPr>
              <w:pStyle w:val="Encabezado"/>
              <w:tabs>
                <w:tab w:val="left" w:pos="4500"/>
                <w:tab w:val="left" w:pos="4680"/>
              </w:tabs>
              <w:jc w:val="both"/>
              <w:rPr>
                <w:rFonts w:cs="Arial"/>
                <w:sz w:val="16"/>
                <w:szCs w:val="16"/>
              </w:rPr>
            </w:pPr>
            <w:r w:rsidRPr="00067004">
              <w:rPr>
                <w:rFonts w:cs="Arial"/>
                <w:sz w:val="16"/>
                <w:szCs w:val="16"/>
              </w:rPr>
              <w:t xml:space="preserve">Por último, respecto a los jóvenes de 18 a 24 años, el indicador determina la tasa de asistencia a la educación superior de la población en esas edades que ha completado el nivel previo (media superior). Esta información permitiría dar seguimiento a la reciente atribución constitucional del Estado de garantizar el derecho a la educación superior de la población. </w:t>
            </w:r>
          </w:p>
          <w:p w14:paraId="468C12F1" w14:textId="77777777" w:rsidR="00A44D67" w:rsidRPr="00067004" w:rsidRDefault="00A44D67" w:rsidP="00E615AE">
            <w:pPr>
              <w:pStyle w:val="Encabezado"/>
              <w:tabs>
                <w:tab w:val="left" w:pos="4500"/>
                <w:tab w:val="left" w:pos="4680"/>
              </w:tabs>
              <w:jc w:val="both"/>
              <w:rPr>
                <w:rFonts w:cs="Arial"/>
                <w:sz w:val="16"/>
                <w:szCs w:val="16"/>
              </w:rPr>
            </w:pPr>
          </w:p>
          <w:p w14:paraId="166E3F00" w14:textId="4FD54621" w:rsidR="00DE3574" w:rsidRPr="00067004" w:rsidRDefault="00E615AE" w:rsidP="00182378">
            <w:pPr>
              <w:pStyle w:val="Encabezado"/>
              <w:tabs>
                <w:tab w:val="left" w:pos="4500"/>
                <w:tab w:val="left" w:pos="4680"/>
              </w:tabs>
              <w:jc w:val="both"/>
              <w:rPr>
                <w:rFonts w:cs="Arial"/>
                <w:sz w:val="16"/>
                <w:szCs w:val="16"/>
              </w:rPr>
            </w:pPr>
            <w:r w:rsidRPr="00067004">
              <w:rPr>
                <w:rFonts w:cs="Arial"/>
                <w:sz w:val="16"/>
                <w:szCs w:val="16"/>
              </w:rPr>
              <w:t>Si los valores del indicador resultan menores para los grupos vulnerables (rurales, pobres, altamente marginad</w:t>
            </w:r>
            <w:r w:rsidR="00920E03" w:rsidRPr="00067004">
              <w:rPr>
                <w:rFonts w:cs="Arial"/>
                <w:sz w:val="16"/>
                <w:szCs w:val="16"/>
              </w:rPr>
              <w:t>o</w:t>
            </w:r>
            <w:r w:rsidRPr="00067004">
              <w:rPr>
                <w:rFonts w:cs="Arial"/>
                <w:sz w:val="16"/>
                <w:szCs w:val="16"/>
              </w:rPr>
              <w:t>s, indígenas) en comparación con sus contrapartes (urban</w:t>
            </w:r>
            <w:r w:rsidR="00D519D6" w:rsidRPr="00067004">
              <w:rPr>
                <w:rFonts w:cs="Arial"/>
                <w:sz w:val="16"/>
                <w:szCs w:val="16"/>
              </w:rPr>
              <w:t>o</w:t>
            </w:r>
            <w:r w:rsidRPr="00067004">
              <w:rPr>
                <w:rFonts w:cs="Arial"/>
                <w:sz w:val="16"/>
                <w:szCs w:val="16"/>
              </w:rPr>
              <w:t xml:space="preserve">s, no </w:t>
            </w:r>
            <w:r w:rsidR="00920E03" w:rsidRPr="00067004">
              <w:rPr>
                <w:rFonts w:cs="Arial"/>
                <w:sz w:val="16"/>
                <w:szCs w:val="16"/>
              </w:rPr>
              <w:t>pobres, menos marginado</w:t>
            </w:r>
            <w:r w:rsidRPr="00067004">
              <w:rPr>
                <w:rFonts w:cs="Arial"/>
                <w:sz w:val="16"/>
                <w:szCs w:val="16"/>
              </w:rPr>
              <w:t xml:space="preserve">s y </w:t>
            </w:r>
            <w:r w:rsidR="00182378" w:rsidRPr="00067004">
              <w:rPr>
                <w:rFonts w:cs="Arial"/>
                <w:sz w:val="16"/>
                <w:szCs w:val="16"/>
              </w:rPr>
              <w:t>resto de la población</w:t>
            </w:r>
            <w:r w:rsidRPr="00067004">
              <w:rPr>
                <w:rFonts w:cs="Arial"/>
                <w:sz w:val="16"/>
                <w:szCs w:val="16"/>
              </w:rPr>
              <w:t xml:space="preserve">), son evidencia del incumplimiento de los objetivos de equidad que tiene el </w:t>
            </w:r>
            <w:r w:rsidR="0034551A" w:rsidRPr="00067004">
              <w:rPr>
                <w:rFonts w:cs="Arial"/>
                <w:sz w:val="16"/>
                <w:szCs w:val="16"/>
              </w:rPr>
              <w:t>SEN</w:t>
            </w:r>
            <w:r w:rsidRPr="00067004">
              <w:rPr>
                <w:rFonts w:cs="Arial"/>
                <w:sz w:val="16"/>
                <w:szCs w:val="16"/>
              </w:rPr>
              <w:t>.</w:t>
            </w:r>
            <w:bookmarkEnd w:id="0"/>
          </w:p>
        </w:tc>
      </w:tr>
      <w:tr w:rsidR="00DE3574" w:rsidRPr="00A00339" w14:paraId="1D3D0D13" w14:textId="77777777">
        <w:trPr>
          <w:trHeight w:val="32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left w:w="57" w:type="dxa"/>
              <w:bottom w:w="85" w:type="dxa"/>
              <w:right w:w="57" w:type="dxa"/>
            </w:tcMar>
          </w:tcPr>
          <w:p w14:paraId="56FB4E7A" w14:textId="77777777" w:rsidR="00DE3574" w:rsidRPr="00094F03" w:rsidRDefault="000A14F6" w:rsidP="008B4998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Utilidad</w:t>
            </w:r>
          </w:p>
          <w:p w14:paraId="01FE8B92" w14:textId="5BCD874E" w:rsidR="00DE3574" w:rsidRPr="00094F03" w:rsidRDefault="00D41439" w:rsidP="00B7724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41439">
              <w:rPr>
                <w:rFonts w:ascii="Arial" w:hAnsi="Arial" w:cs="Arial"/>
                <w:sz w:val="16"/>
                <w:szCs w:val="16"/>
              </w:rPr>
              <w:t xml:space="preserve">El indicador permite conocer la demanda de niños y </w:t>
            </w:r>
            <w:r w:rsidR="00A44D67">
              <w:rPr>
                <w:rFonts w:ascii="Arial" w:hAnsi="Arial" w:cs="Arial"/>
                <w:sz w:val="16"/>
                <w:szCs w:val="16"/>
              </w:rPr>
              <w:t xml:space="preserve">jóvenes </w:t>
            </w:r>
            <w:r w:rsidRPr="00D41439">
              <w:rPr>
                <w:rFonts w:ascii="Arial" w:hAnsi="Arial" w:cs="Arial"/>
                <w:sz w:val="16"/>
                <w:szCs w:val="16"/>
              </w:rPr>
              <w:t>que se encuentran en posibilidad de cursar la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41439">
              <w:rPr>
                <w:rFonts w:ascii="Arial" w:hAnsi="Arial" w:cs="Arial"/>
                <w:sz w:val="16"/>
                <w:szCs w:val="16"/>
              </w:rPr>
              <w:t>educación secundaria</w:t>
            </w:r>
            <w:r w:rsidR="0072338B">
              <w:rPr>
                <w:rFonts w:ascii="Arial" w:hAnsi="Arial" w:cs="Arial"/>
                <w:sz w:val="16"/>
                <w:szCs w:val="16"/>
              </w:rPr>
              <w:t>,</w:t>
            </w:r>
            <w:r w:rsidRPr="00D41439">
              <w:rPr>
                <w:rFonts w:ascii="Arial" w:hAnsi="Arial" w:cs="Arial"/>
                <w:sz w:val="16"/>
                <w:szCs w:val="16"/>
              </w:rPr>
              <w:t xml:space="preserve"> media superior</w:t>
            </w:r>
            <w:r w:rsidR="0072338B">
              <w:rPr>
                <w:rFonts w:ascii="Arial" w:hAnsi="Arial" w:cs="Arial"/>
                <w:sz w:val="16"/>
                <w:szCs w:val="16"/>
              </w:rPr>
              <w:t xml:space="preserve"> y superior</w:t>
            </w:r>
            <w:r w:rsidRPr="00D41439">
              <w:rPr>
                <w:rFonts w:ascii="Arial" w:hAnsi="Arial" w:cs="Arial"/>
                <w:sz w:val="16"/>
                <w:szCs w:val="16"/>
              </w:rPr>
              <w:t>, dado que ya cubren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41439">
              <w:rPr>
                <w:rFonts w:ascii="Arial" w:hAnsi="Arial" w:cs="Arial"/>
                <w:sz w:val="16"/>
                <w:szCs w:val="16"/>
              </w:rPr>
              <w:t xml:space="preserve">los requisitos necesarios de educación </w:t>
            </w:r>
            <w:r w:rsidR="00B77242">
              <w:rPr>
                <w:rFonts w:ascii="Arial" w:hAnsi="Arial" w:cs="Arial"/>
                <w:sz w:val="16"/>
                <w:szCs w:val="16"/>
              </w:rPr>
              <w:t>primaria</w:t>
            </w:r>
            <w:r w:rsidR="0072338B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B77242">
              <w:rPr>
                <w:rFonts w:ascii="Arial" w:hAnsi="Arial" w:cs="Arial"/>
                <w:sz w:val="16"/>
                <w:szCs w:val="16"/>
              </w:rPr>
              <w:t>secundaria</w:t>
            </w:r>
            <w:r w:rsidR="0072338B">
              <w:rPr>
                <w:rFonts w:ascii="Arial" w:hAnsi="Arial" w:cs="Arial"/>
                <w:sz w:val="16"/>
                <w:szCs w:val="16"/>
              </w:rPr>
              <w:t xml:space="preserve"> y media superior</w:t>
            </w:r>
            <w:r w:rsidRPr="00D41439">
              <w:rPr>
                <w:rFonts w:ascii="Arial" w:hAnsi="Arial" w:cs="Arial"/>
                <w:sz w:val="16"/>
                <w:szCs w:val="16"/>
              </w:rPr>
              <w:t>, respectivamente.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41439">
              <w:rPr>
                <w:rFonts w:ascii="Arial" w:hAnsi="Arial" w:cs="Arial"/>
                <w:sz w:val="16"/>
                <w:szCs w:val="16"/>
              </w:rPr>
              <w:t>Asimismo, este indicador permite dimensionar los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41439">
              <w:rPr>
                <w:rFonts w:ascii="Arial" w:hAnsi="Arial" w:cs="Arial"/>
                <w:sz w:val="16"/>
                <w:szCs w:val="16"/>
              </w:rPr>
              <w:t>recursos que serán necesarios para cubrir la demanda de la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41439">
              <w:rPr>
                <w:rFonts w:ascii="Arial" w:hAnsi="Arial" w:cs="Arial"/>
                <w:sz w:val="16"/>
                <w:szCs w:val="16"/>
              </w:rPr>
              <w:t>población atendible</w:t>
            </w:r>
            <w:r w:rsidR="0072338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41439">
              <w:rPr>
                <w:rFonts w:ascii="Arial" w:hAnsi="Arial" w:cs="Arial"/>
                <w:sz w:val="16"/>
                <w:szCs w:val="16"/>
              </w:rPr>
              <w:t>en educación secundaria</w:t>
            </w:r>
            <w:r w:rsidR="0072338B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D41439">
              <w:rPr>
                <w:rFonts w:ascii="Arial" w:hAnsi="Arial" w:cs="Arial"/>
                <w:sz w:val="16"/>
                <w:szCs w:val="16"/>
              </w:rPr>
              <w:t xml:space="preserve">media superior y </w:t>
            </w:r>
            <w:r w:rsidR="0072338B">
              <w:rPr>
                <w:rFonts w:ascii="Arial" w:hAnsi="Arial" w:cs="Arial"/>
                <w:sz w:val="16"/>
                <w:szCs w:val="16"/>
              </w:rPr>
              <w:t xml:space="preserve">superior, así como </w:t>
            </w:r>
            <w:r w:rsidRPr="00D41439">
              <w:rPr>
                <w:rFonts w:ascii="Arial" w:hAnsi="Arial" w:cs="Arial"/>
                <w:sz w:val="16"/>
                <w:szCs w:val="16"/>
              </w:rPr>
              <w:t>valorar qué tanto el S</w:t>
            </w:r>
            <w:r w:rsidR="0034551A">
              <w:rPr>
                <w:rFonts w:ascii="Arial" w:hAnsi="Arial" w:cs="Arial"/>
                <w:sz w:val="16"/>
                <w:szCs w:val="16"/>
              </w:rPr>
              <w:t>EN</w:t>
            </w:r>
            <w:r w:rsidRPr="00D41439">
              <w:rPr>
                <w:rFonts w:ascii="Arial" w:hAnsi="Arial" w:cs="Arial"/>
                <w:sz w:val="16"/>
                <w:szCs w:val="16"/>
              </w:rPr>
              <w:t xml:space="preserve"> está cumpliendo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41439">
              <w:rPr>
                <w:rFonts w:ascii="Arial" w:hAnsi="Arial" w:cs="Arial"/>
                <w:sz w:val="16"/>
                <w:szCs w:val="16"/>
              </w:rPr>
              <w:t>sus objetivos de equidad</w:t>
            </w:r>
            <w:r w:rsidR="008F59A2" w:rsidRPr="00094F0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DE3574" w:rsidRPr="00A00339" w14:paraId="4D394409" w14:textId="77777777">
        <w:trPr>
          <w:trHeight w:val="32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left w:w="57" w:type="dxa"/>
              <w:bottom w:w="85" w:type="dxa"/>
              <w:right w:w="57" w:type="dxa"/>
            </w:tcMar>
          </w:tcPr>
          <w:p w14:paraId="4A2B4BC0" w14:textId="7BD8F6C0" w:rsidR="00DE3574" w:rsidRPr="00A00339" w:rsidRDefault="00DE3574" w:rsidP="008B4998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00339">
              <w:rPr>
                <w:rFonts w:ascii="Arial" w:hAnsi="Arial" w:cs="Arial"/>
                <w:b/>
                <w:sz w:val="16"/>
                <w:szCs w:val="16"/>
              </w:rPr>
              <w:t>Ofrece elementos para evaluar las sig</w:t>
            </w:r>
            <w:r w:rsidR="00D84B08">
              <w:rPr>
                <w:rFonts w:ascii="Arial" w:hAnsi="Arial" w:cs="Arial"/>
                <w:b/>
                <w:sz w:val="16"/>
                <w:szCs w:val="16"/>
              </w:rPr>
              <w:t xml:space="preserve">uientes dimensiones de </w:t>
            </w:r>
            <w:r w:rsidR="00E75EF0">
              <w:rPr>
                <w:rFonts w:ascii="Arial" w:hAnsi="Arial" w:cs="Arial"/>
                <w:b/>
                <w:sz w:val="16"/>
                <w:szCs w:val="16"/>
              </w:rPr>
              <w:t xml:space="preserve">la </w:t>
            </w:r>
            <w:r w:rsidR="00D84B08">
              <w:rPr>
                <w:rFonts w:ascii="Arial" w:hAnsi="Arial" w:cs="Arial"/>
                <w:b/>
                <w:sz w:val="16"/>
                <w:szCs w:val="16"/>
              </w:rPr>
              <w:t xml:space="preserve">calidad </w:t>
            </w:r>
            <w:r w:rsidR="000A14F6">
              <w:rPr>
                <w:rFonts w:ascii="Arial" w:hAnsi="Arial" w:cs="Arial"/>
                <w:b/>
                <w:sz w:val="16"/>
                <w:szCs w:val="16"/>
              </w:rPr>
              <w:t>educativa</w:t>
            </w:r>
          </w:p>
          <w:p w14:paraId="7A05D7EB" w14:textId="1A59A2B6" w:rsidR="00DE3574" w:rsidRPr="00A00339" w:rsidRDefault="00411893" w:rsidP="00F14AC9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Eficacia </w:t>
            </w:r>
            <w:r w:rsidR="00D7548B">
              <w:rPr>
                <w:rFonts w:ascii="Arial" w:hAnsi="Arial" w:cs="Arial"/>
                <w:sz w:val="16"/>
                <w:szCs w:val="16"/>
              </w:rPr>
              <w:t>y equidad</w:t>
            </w:r>
          </w:p>
        </w:tc>
      </w:tr>
      <w:tr w:rsidR="00DE3574" w:rsidRPr="00A00339" w14:paraId="5F529F0A" w14:textId="77777777">
        <w:trPr>
          <w:trHeight w:val="161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left w:w="57" w:type="dxa"/>
              <w:bottom w:w="85" w:type="dxa"/>
              <w:right w:w="57" w:type="dxa"/>
            </w:tcMar>
          </w:tcPr>
          <w:p w14:paraId="28F3FC3D" w14:textId="77777777" w:rsidR="00CC37DD" w:rsidRPr="00A00339" w:rsidRDefault="000A14F6" w:rsidP="00CC37DD">
            <w:pPr>
              <w:spacing w:before="4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Desagregación</w:t>
            </w:r>
          </w:p>
          <w:p w14:paraId="33208A60" w14:textId="3C0CAD31" w:rsidR="00CC37DD" w:rsidRDefault="005A60EF" w:rsidP="00CC37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="00CC37DD">
              <w:rPr>
                <w:rFonts w:ascii="Arial" w:hAnsi="Arial" w:cs="Arial"/>
                <w:sz w:val="16"/>
                <w:szCs w:val="16"/>
              </w:rPr>
              <w:t>ubpoblaciones seleccionadas</w:t>
            </w:r>
            <w:r w:rsidR="008E6134">
              <w:rPr>
                <w:rFonts w:ascii="Arial" w:hAnsi="Arial" w:cs="Arial"/>
                <w:sz w:val="16"/>
                <w:szCs w:val="16"/>
              </w:rPr>
              <w:t>:</w:t>
            </w:r>
            <w:r w:rsidR="00CC37DD">
              <w:rPr>
                <w:rFonts w:ascii="Arial" w:hAnsi="Arial" w:cs="Arial"/>
                <w:sz w:val="16"/>
                <w:szCs w:val="16"/>
                <w:vertAlign w:val="superscript"/>
              </w:rPr>
              <w:t>1</w:t>
            </w:r>
            <w:r w:rsidR="00CC37D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C37DD" w:rsidRPr="00C36BD5">
              <w:rPr>
                <w:rFonts w:ascii="Arial" w:hAnsi="Arial" w:cs="Arial"/>
                <w:sz w:val="16"/>
                <w:szCs w:val="16"/>
              </w:rPr>
              <w:t>sexo</w:t>
            </w:r>
            <w:r w:rsidR="00C36BD5">
              <w:rPr>
                <w:rFonts w:ascii="Arial" w:hAnsi="Arial" w:cs="Arial"/>
                <w:sz w:val="16"/>
                <w:szCs w:val="16"/>
              </w:rPr>
              <w:t xml:space="preserve"> (hombres y mujeres)</w:t>
            </w:r>
            <w:r w:rsidR="00CC37DD">
              <w:rPr>
                <w:rFonts w:ascii="Arial" w:hAnsi="Arial" w:cs="Arial"/>
                <w:sz w:val="16"/>
                <w:szCs w:val="16"/>
              </w:rPr>
              <w:t xml:space="preserve">, tamaño de localidad (rural, semiurbana y urbana), </w:t>
            </w:r>
            <w:r w:rsidR="000005D0">
              <w:rPr>
                <w:rFonts w:ascii="Arial" w:hAnsi="Arial" w:cs="Arial"/>
                <w:sz w:val="16"/>
                <w:szCs w:val="16"/>
              </w:rPr>
              <w:t>condición</w:t>
            </w:r>
            <w:r w:rsidR="00B97065">
              <w:rPr>
                <w:rFonts w:ascii="Arial" w:hAnsi="Arial" w:cs="Arial"/>
                <w:sz w:val="16"/>
                <w:szCs w:val="16"/>
              </w:rPr>
              <w:t xml:space="preserve"> étnica (</w:t>
            </w:r>
            <w:r w:rsidR="000005D0">
              <w:rPr>
                <w:rFonts w:ascii="Arial" w:hAnsi="Arial" w:cs="Arial"/>
                <w:sz w:val="16"/>
                <w:szCs w:val="16"/>
              </w:rPr>
              <w:t xml:space="preserve">población </w:t>
            </w:r>
            <w:r w:rsidR="00B97065">
              <w:rPr>
                <w:rFonts w:ascii="Arial" w:hAnsi="Arial" w:cs="Arial"/>
                <w:sz w:val="16"/>
                <w:szCs w:val="16"/>
              </w:rPr>
              <w:t>indígena</w:t>
            </w:r>
            <w:r w:rsidR="00C36BD5" w:rsidRPr="00C36BD5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 w:rsidR="00B97065">
              <w:rPr>
                <w:rFonts w:ascii="Arial" w:hAnsi="Arial" w:cs="Arial"/>
                <w:sz w:val="16"/>
                <w:szCs w:val="16"/>
              </w:rPr>
              <w:t xml:space="preserve"> y </w:t>
            </w:r>
            <w:r w:rsidR="000005D0">
              <w:rPr>
                <w:rFonts w:ascii="Arial" w:hAnsi="Arial" w:cs="Arial"/>
                <w:sz w:val="16"/>
                <w:szCs w:val="16"/>
              </w:rPr>
              <w:t xml:space="preserve">resto de la población), </w:t>
            </w:r>
            <w:r w:rsidR="00B97065">
              <w:rPr>
                <w:rFonts w:ascii="Arial" w:hAnsi="Arial" w:cs="Arial"/>
                <w:sz w:val="16"/>
                <w:szCs w:val="16"/>
              </w:rPr>
              <w:t>t</w:t>
            </w:r>
            <w:r w:rsidR="005C40BB">
              <w:rPr>
                <w:rFonts w:ascii="Arial" w:hAnsi="Arial" w:cs="Arial"/>
                <w:sz w:val="16"/>
                <w:szCs w:val="16"/>
              </w:rPr>
              <w:t xml:space="preserve">ipo de condición (con discapacidad y sin discapacidad), </w:t>
            </w:r>
            <w:r w:rsidR="00CC37DD" w:rsidRPr="00C36BD5">
              <w:rPr>
                <w:rFonts w:ascii="Arial" w:hAnsi="Arial" w:cs="Arial"/>
                <w:sz w:val="16"/>
                <w:szCs w:val="16"/>
              </w:rPr>
              <w:t>nivel de escolaridad del jefe de hogar</w:t>
            </w:r>
            <w:r w:rsidR="00C36BD5" w:rsidRPr="00C36BD5">
              <w:rPr>
                <w:rFonts w:ascii="Arial" w:hAnsi="Arial" w:cs="Arial"/>
                <w:sz w:val="16"/>
                <w:szCs w:val="16"/>
              </w:rPr>
              <w:t xml:space="preserve"> (sin</w:t>
            </w:r>
            <w:r w:rsidR="00C36BD5">
              <w:rPr>
                <w:rFonts w:ascii="Arial" w:hAnsi="Arial" w:cs="Arial"/>
                <w:sz w:val="16"/>
                <w:szCs w:val="16"/>
              </w:rPr>
              <w:t xml:space="preserve"> instrucción, básica incompleta, básica completa, media superior y superior)</w:t>
            </w:r>
            <w:r w:rsidR="00CC37DD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CC37DD" w:rsidRPr="00C36BD5">
              <w:rPr>
                <w:rFonts w:ascii="Arial" w:hAnsi="Arial" w:cs="Arial"/>
                <w:sz w:val="16"/>
                <w:szCs w:val="16"/>
              </w:rPr>
              <w:t xml:space="preserve">marginación (alta y baja), </w:t>
            </w:r>
            <w:r w:rsidR="0027239E" w:rsidRPr="00C36BD5">
              <w:rPr>
                <w:rFonts w:ascii="Arial" w:hAnsi="Arial" w:cs="Arial"/>
                <w:sz w:val="16"/>
                <w:szCs w:val="16"/>
              </w:rPr>
              <w:t xml:space="preserve">según </w:t>
            </w:r>
            <w:r w:rsidR="00C07619" w:rsidRPr="00C36BD5">
              <w:rPr>
                <w:rFonts w:ascii="Arial" w:hAnsi="Arial" w:cs="Arial"/>
                <w:sz w:val="16"/>
                <w:szCs w:val="16"/>
              </w:rPr>
              <w:t>ingreso respecto a la línea de bienestar mínimo</w:t>
            </w:r>
            <w:r w:rsidR="00C36BD5" w:rsidRPr="00C36BD5">
              <w:rPr>
                <w:rFonts w:ascii="Arial" w:hAnsi="Arial" w:cs="Arial"/>
                <w:sz w:val="16"/>
                <w:szCs w:val="16"/>
              </w:rPr>
              <w:t xml:space="preserve"> (inferior, superior o igual)</w:t>
            </w:r>
            <w:r w:rsidR="00C07619" w:rsidRPr="00C36BD5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27239E" w:rsidRPr="00C36BD5">
              <w:rPr>
                <w:rFonts w:ascii="Arial" w:hAnsi="Arial" w:cs="Arial"/>
                <w:sz w:val="16"/>
                <w:szCs w:val="16"/>
              </w:rPr>
              <w:t xml:space="preserve">según </w:t>
            </w:r>
            <w:r w:rsidR="00C07619" w:rsidRPr="00C36BD5">
              <w:rPr>
                <w:rFonts w:ascii="Arial" w:hAnsi="Arial" w:cs="Arial"/>
                <w:sz w:val="16"/>
                <w:szCs w:val="16"/>
              </w:rPr>
              <w:t>ingreso respecto a la línea de bienestar</w:t>
            </w:r>
            <w:r w:rsidR="00C36BD5" w:rsidRPr="00C36BD5">
              <w:rPr>
                <w:rFonts w:ascii="Arial" w:hAnsi="Arial" w:cs="Arial"/>
                <w:sz w:val="16"/>
                <w:szCs w:val="16"/>
              </w:rPr>
              <w:t xml:space="preserve"> (inferior, superior o igual)</w:t>
            </w:r>
            <w:r w:rsidR="00C07619" w:rsidRPr="00C36BD5">
              <w:rPr>
                <w:rFonts w:ascii="Arial" w:hAnsi="Arial" w:cs="Arial"/>
                <w:sz w:val="16"/>
                <w:szCs w:val="16"/>
              </w:rPr>
              <w:t xml:space="preserve">, condición de pobreza </w:t>
            </w:r>
            <w:r w:rsidR="00C07619" w:rsidRPr="00C36BD5">
              <w:rPr>
                <w:rFonts w:ascii="Arial" w:hAnsi="Arial" w:cs="Arial"/>
                <w:sz w:val="16"/>
                <w:szCs w:val="16"/>
              </w:rPr>
              <w:lastRenderedPageBreak/>
              <w:t>(</w:t>
            </w:r>
            <w:r w:rsidR="0027239E" w:rsidRPr="00C36BD5">
              <w:rPr>
                <w:rFonts w:ascii="Arial" w:hAnsi="Arial" w:cs="Arial"/>
                <w:sz w:val="16"/>
                <w:szCs w:val="16"/>
              </w:rPr>
              <w:t xml:space="preserve">pobreza, </w:t>
            </w:r>
            <w:r w:rsidR="00C07619" w:rsidRPr="00C36BD5">
              <w:rPr>
                <w:rFonts w:ascii="Arial" w:hAnsi="Arial" w:cs="Arial"/>
                <w:sz w:val="16"/>
                <w:szCs w:val="16"/>
              </w:rPr>
              <w:t>pobreza extrema, pobreza moderada,</w:t>
            </w:r>
            <w:r w:rsidR="0027239E" w:rsidRPr="00C36BD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07619" w:rsidRPr="00C36BD5">
              <w:rPr>
                <w:rFonts w:ascii="Arial" w:hAnsi="Arial" w:cs="Arial"/>
                <w:sz w:val="16"/>
                <w:szCs w:val="16"/>
              </w:rPr>
              <w:t>vulnerable por carencias, vulnerable por ingresos</w:t>
            </w:r>
            <w:r w:rsidR="00C07619" w:rsidRPr="00D7398D">
              <w:rPr>
                <w:rFonts w:ascii="Arial" w:hAnsi="Arial" w:cs="Arial"/>
                <w:sz w:val="16"/>
                <w:szCs w:val="16"/>
              </w:rPr>
              <w:t>, no pobre y no vulnerable</w:t>
            </w:r>
            <w:r w:rsidR="00C07619" w:rsidRPr="00C36BD5">
              <w:rPr>
                <w:rFonts w:ascii="Arial" w:hAnsi="Arial" w:cs="Arial"/>
                <w:sz w:val="16"/>
                <w:szCs w:val="16"/>
              </w:rPr>
              <w:t>),</w:t>
            </w:r>
            <w:r w:rsidR="00CC37DD" w:rsidRPr="00C36BD5">
              <w:rPr>
                <w:rFonts w:ascii="Arial" w:hAnsi="Arial" w:cs="Arial"/>
                <w:sz w:val="16"/>
                <w:szCs w:val="16"/>
              </w:rPr>
              <w:t xml:space="preserve"> quintil de ingreso </w:t>
            </w:r>
            <w:r w:rsidR="00C36BD5" w:rsidRPr="00C36BD5">
              <w:rPr>
                <w:rFonts w:ascii="Arial" w:hAnsi="Arial" w:cs="Arial"/>
                <w:sz w:val="16"/>
                <w:szCs w:val="16"/>
              </w:rPr>
              <w:t xml:space="preserve">(I-V) </w:t>
            </w:r>
            <w:r w:rsidR="00CC37DD" w:rsidRPr="00C36BD5">
              <w:rPr>
                <w:rFonts w:ascii="Arial" w:hAnsi="Arial" w:cs="Arial"/>
                <w:sz w:val="16"/>
                <w:szCs w:val="16"/>
              </w:rPr>
              <w:t>y condición de actividad</w:t>
            </w:r>
            <w:r w:rsidR="00C36BD5" w:rsidRPr="00C36BD5">
              <w:rPr>
                <w:rFonts w:ascii="Arial" w:hAnsi="Arial" w:cs="Arial"/>
                <w:sz w:val="16"/>
                <w:szCs w:val="16"/>
              </w:rPr>
              <w:t xml:space="preserve"> (trabajo </w:t>
            </w:r>
            <w:proofErr w:type="spellStart"/>
            <w:r w:rsidR="00C36BD5" w:rsidRPr="00C36BD5">
              <w:rPr>
                <w:rFonts w:ascii="Arial" w:hAnsi="Arial" w:cs="Arial"/>
                <w:sz w:val="16"/>
                <w:szCs w:val="16"/>
              </w:rPr>
              <w:t>extradoméstico</w:t>
            </w:r>
            <w:proofErr w:type="spellEnd"/>
            <w:r w:rsidR="00C36BD5" w:rsidRPr="00C36BD5">
              <w:rPr>
                <w:rFonts w:ascii="Arial" w:hAnsi="Arial" w:cs="Arial"/>
                <w:sz w:val="16"/>
                <w:szCs w:val="16"/>
              </w:rPr>
              <w:t xml:space="preserve"> ≥ 20 h, trabajo mixto ≥ 20 h, trabajo doméstico ≥ 20 h y no trabaja o &lt; 20 h)</w:t>
            </w:r>
            <w:r w:rsidR="00CC37DD" w:rsidRPr="00C36BD5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02695307" w14:textId="77777777" w:rsidR="00CC37DD" w:rsidRDefault="00CC37DD" w:rsidP="00CC37DD">
            <w:pPr>
              <w:rPr>
                <w:rFonts w:ascii="Arial" w:hAnsi="Arial" w:cs="Arial"/>
                <w:sz w:val="16"/>
                <w:szCs w:val="16"/>
              </w:rPr>
            </w:pPr>
          </w:p>
          <w:p w14:paraId="08673775" w14:textId="6A6A7F9C" w:rsidR="000F5190" w:rsidRDefault="004E5AF9" w:rsidP="007E5B7C">
            <w:pPr>
              <w:ind w:right="-68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2E4728">
              <w:rPr>
                <w:rFonts w:ascii="Arial" w:hAnsi="Arial" w:cs="Arial"/>
                <w:sz w:val="16"/>
                <w:szCs w:val="16"/>
              </w:rPr>
              <w:t>áximo nivel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E4728">
              <w:rPr>
                <w:rFonts w:ascii="Arial" w:hAnsi="Arial" w:cs="Arial"/>
                <w:sz w:val="16"/>
                <w:szCs w:val="16"/>
              </w:rPr>
              <w:t xml:space="preserve">de desagregación </w:t>
            </w:r>
            <w:r>
              <w:rPr>
                <w:rFonts w:ascii="Arial" w:hAnsi="Arial" w:cs="Arial"/>
                <w:sz w:val="16"/>
                <w:szCs w:val="16"/>
              </w:rPr>
              <w:t>para</w:t>
            </w:r>
            <w:r w:rsidRPr="002E4728">
              <w:rPr>
                <w:rFonts w:ascii="Arial" w:hAnsi="Arial" w:cs="Arial"/>
                <w:sz w:val="16"/>
                <w:szCs w:val="16"/>
              </w:rPr>
              <w:t xml:space="preserve"> las subpoblaciones derivadas de la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F7D07">
              <w:rPr>
                <w:rFonts w:ascii="Arial" w:hAnsi="Arial" w:cs="Arial"/>
                <w:sz w:val="16"/>
                <w:szCs w:val="16"/>
              </w:rPr>
              <w:t>Encuesta Nacional de Ingresos y Gastos de los Hogares 2012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F7D07">
              <w:rPr>
                <w:rFonts w:ascii="Arial" w:hAnsi="Arial" w:cs="Arial"/>
                <w:sz w:val="16"/>
                <w:szCs w:val="16"/>
              </w:rPr>
              <w:t>Módulo de Condiciones Socioeconómicas</w:t>
            </w:r>
            <w:r w:rsidR="00A44D67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y la</w:t>
            </w:r>
            <w:r w:rsidRPr="002E4728">
              <w:rPr>
                <w:rFonts w:ascii="Arial" w:hAnsi="Arial" w:cs="Arial"/>
                <w:sz w:val="16"/>
                <w:szCs w:val="16"/>
              </w:rPr>
              <w:t xml:space="preserve"> Encuesta Nacional de Ingresos y Gastos de los</w:t>
            </w:r>
            <w:r>
              <w:rPr>
                <w:rFonts w:ascii="Arial" w:hAnsi="Arial" w:cs="Arial"/>
                <w:sz w:val="16"/>
                <w:szCs w:val="16"/>
              </w:rPr>
              <w:t xml:space="preserve"> Hogares 2016</w:t>
            </w:r>
            <w:r w:rsidR="000F5190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5D7D89" w:rsidRPr="005D7D89">
              <w:rPr>
                <w:rFonts w:ascii="Arial" w:hAnsi="Arial" w:cs="Arial"/>
                <w:sz w:val="16"/>
                <w:szCs w:val="16"/>
              </w:rPr>
              <w:t>entidad fe</w:t>
            </w:r>
            <w:r w:rsidR="007E5B7C">
              <w:rPr>
                <w:rFonts w:ascii="Arial" w:hAnsi="Arial" w:cs="Arial"/>
                <w:sz w:val="16"/>
                <w:szCs w:val="16"/>
              </w:rPr>
              <w:t>derativa</w:t>
            </w:r>
            <w:r w:rsidR="000F5190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47F108B8" w14:textId="77777777" w:rsidR="000F5190" w:rsidRDefault="000F5190" w:rsidP="007E5B7C">
            <w:pPr>
              <w:ind w:right="-68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1DA2F854" w14:textId="09F4FF01" w:rsidR="007E5B7C" w:rsidRPr="002E4728" w:rsidRDefault="004E5AF9" w:rsidP="007E5B7C">
            <w:pPr>
              <w:ind w:right="-68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2E4728">
              <w:rPr>
                <w:rFonts w:ascii="Arial" w:hAnsi="Arial" w:cs="Arial"/>
                <w:sz w:val="16"/>
                <w:szCs w:val="16"/>
              </w:rPr>
              <w:t>áximo nivel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E4728">
              <w:rPr>
                <w:rFonts w:ascii="Arial" w:hAnsi="Arial" w:cs="Arial"/>
                <w:sz w:val="16"/>
                <w:szCs w:val="16"/>
              </w:rPr>
              <w:t xml:space="preserve">de desagregación </w:t>
            </w:r>
            <w:r>
              <w:rPr>
                <w:rFonts w:ascii="Arial" w:hAnsi="Arial" w:cs="Arial"/>
                <w:sz w:val="16"/>
                <w:szCs w:val="16"/>
              </w:rPr>
              <w:t>para</w:t>
            </w:r>
            <w:r w:rsidRPr="002E4728">
              <w:rPr>
                <w:rFonts w:ascii="Arial" w:hAnsi="Arial" w:cs="Arial"/>
                <w:sz w:val="16"/>
                <w:szCs w:val="16"/>
              </w:rPr>
              <w:t xml:space="preserve"> las subpoblaciones derivadas de la Encuesta Nacional de Ocupación y Empleo</w:t>
            </w:r>
            <w:r>
              <w:rPr>
                <w:rFonts w:ascii="Arial" w:hAnsi="Arial" w:cs="Arial"/>
                <w:sz w:val="16"/>
                <w:szCs w:val="16"/>
              </w:rPr>
              <w:t>, 2° trimestre de 2013 y 2018</w:t>
            </w:r>
            <w:r w:rsidR="008B3BA8">
              <w:rPr>
                <w:rFonts w:ascii="Arial" w:hAnsi="Arial" w:cs="Arial"/>
                <w:sz w:val="16"/>
                <w:szCs w:val="16"/>
              </w:rPr>
              <w:t>:</w:t>
            </w:r>
            <w:r w:rsidR="00C5340B" w:rsidRPr="005D7D8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D7D89" w:rsidRPr="005D7D89">
              <w:rPr>
                <w:rFonts w:ascii="Arial" w:hAnsi="Arial" w:cs="Arial"/>
                <w:sz w:val="16"/>
                <w:szCs w:val="16"/>
              </w:rPr>
              <w:t xml:space="preserve">entidad federativa, 32 ciudades </w:t>
            </w:r>
            <w:proofErr w:type="spellStart"/>
            <w:r w:rsidR="005D7D89" w:rsidRPr="005D7D89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>autorrepresentadas</w:t>
            </w:r>
            <w:proofErr w:type="spellEnd"/>
            <w:r w:rsidR="005D7D89" w:rsidRPr="005D7D89">
              <w:rPr>
                <w:rFonts w:ascii="Arial" w:hAnsi="Arial" w:cs="Arial"/>
                <w:sz w:val="16"/>
                <w:szCs w:val="16"/>
              </w:rPr>
              <w:t>, localidades de 100</w:t>
            </w:r>
            <w:r w:rsidR="008B3BA8">
              <w:rPr>
                <w:rFonts w:ascii="Arial" w:hAnsi="Arial" w:cs="Arial"/>
                <w:sz w:val="16"/>
                <w:szCs w:val="16"/>
              </w:rPr>
              <w:t xml:space="preserve"> 000</w:t>
            </w:r>
            <w:r w:rsidR="00273131" w:rsidRPr="005D7D8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D7D89" w:rsidRPr="005D7D89">
              <w:rPr>
                <w:rFonts w:ascii="Arial" w:hAnsi="Arial" w:cs="Arial"/>
                <w:sz w:val="16"/>
                <w:szCs w:val="16"/>
              </w:rPr>
              <w:t xml:space="preserve">y más habitantes, localidades de 15 </w:t>
            </w:r>
            <w:r w:rsidR="008B3BA8">
              <w:rPr>
                <w:rFonts w:ascii="Arial" w:hAnsi="Arial" w:cs="Arial"/>
                <w:sz w:val="16"/>
                <w:szCs w:val="16"/>
              </w:rPr>
              <w:t>000</w:t>
            </w:r>
            <w:r w:rsidR="00273131" w:rsidRPr="005D7D8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D7D89" w:rsidRPr="005D7D89">
              <w:rPr>
                <w:rFonts w:ascii="Arial" w:hAnsi="Arial" w:cs="Arial"/>
                <w:sz w:val="16"/>
                <w:szCs w:val="16"/>
              </w:rPr>
              <w:t>a 99 999 habitantes, localidades de 2 500 a 14 999 habitantes y localidades de</w:t>
            </w:r>
            <w:r w:rsidR="007E5B7C">
              <w:rPr>
                <w:rFonts w:ascii="Arial" w:hAnsi="Arial" w:cs="Arial"/>
                <w:sz w:val="16"/>
                <w:szCs w:val="16"/>
              </w:rPr>
              <w:t xml:space="preserve"> menos de 2 500 habitantes</w:t>
            </w:r>
            <w:r w:rsidR="007E5B7C" w:rsidRPr="004A68F4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0A4C3827" w14:textId="77777777" w:rsidR="00781306" w:rsidRDefault="00781306" w:rsidP="00CC37DD">
            <w:pPr>
              <w:spacing w:before="40"/>
              <w:ind w:right="108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01D7E9F" w14:textId="77777777" w:rsidR="00CC37DD" w:rsidRDefault="00CC37DD" w:rsidP="00CC37DD">
            <w:pPr>
              <w:spacing w:before="40"/>
              <w:ind w:right="108"/>
              <w:rPr>
                <w:rFonts w:ascii="Arial" w:hAnsi="Arial" w:cs="Arial"/>
                <w:b/>
                <w:sz w:val="16"/>
                <w:szCs w:val="16"/>
              </w:rPr>
            </w:pPr>
            <w:r w:rsidRPr="00A00339">
              <w:rPr>
                <w:rFonts w:ascii="Arial" w:hAnsi="Arial" w:cs="Arial"/>
                <w:b/>
                <w:sz w:val="16"/>
                <w:szCs w:val="16"/>
              </w:rPr>
              <w:t>Fuente</w:t>
            </w:r>
            <w:r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Pr="00A00339">
              <w:rPr>
                <w:rFonts w:ascii="Arial" w:hAnsi="Arial" w:cs="Arial"/>
                <w:b/>
                <w:sz w:val="16"/>
                <w:szCs w:val="16"/>
              </w:rPr>
              <w:t xml:space="preserve"> de informació</w:t>
            </w:r>
            <w:r w:rsidR="00A44BA9">
              <w:rPr>
                <w:rFonts w:ascii="Arial" w:hAnsi="Arial" w:cs="Arial"/>
                <w:b/>
                <w:sz w:val="16"/>
                <w:szCs w:val="16"/>
              </w:rPr>
              <w:t>n</w:t>
            </w:r>
          </w:p>
          <w:p w14:paraId="22457EFD" w14:textId="459CE40B" w:rsidR="00DC2A00" w:rsidRDefault="00DC2A00" w:rsidP="00DC2A00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  <w:p w14:paraId="5F25833B" w14:textId="77777777" w:rsidR="00DC2A00" w:rsidRPr="00067004" w:rsidRDefault="00DC2A00" w:rsidP="00DC2A0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C2A00">
              <w:rPr>
                <w:rFonts w:ascii="Arial" w:hAnsi="Arial" w:cs="Arial"/>
                <w:smallCaps/>
                <w:sz w:val="16"/>
                <w:szCs w:val="16"/>
              </w:rPr>
              <w:t>Conapo</w:t>
            </w:r>
            <w:proofErr w:type="spellEnd"/>
            <w:r w:rsidRPr="00FF7D07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67004">
              <w:rPr>
                <w:rFonts w:ascii="Arial" w:hAnsi="Arial" w:cs="Arial"/>
                <w:sz w:val="16"/>
                <w:szCs w:val="16"/>
              </w:rPr>
              <w:t>2015). Índice de Marginación por Municipio 2015 (base de datos).</w:t>
            </w:r>
          </w:p>
          <w:p w14:paraId="3D2847AC" w14:textId="77777777" w:rsidR="00DC2A00" w:rsidRPr="00067004" w:rsidRDefault="00DC2A00" w:rsidP="00DC2A00">
            <w:pPr>
              <w:rPr>
                <w:rFonts w:ascii="Arial" w:hAnsi="Arial" w:cs="Arial"/>
                <w:sz w:val="16"/>
                <w:szCs w:val="16"/>
              </w:rPr>
            </w:pPr>
            <w:r w:rsidRPr="00067004">
              <w:rPr>
                <w:rFonts w:ascii="Arial" w:hAnsi="Arial" w:cs="Arial"/>
                <w:smallCaps/>
                <w:sz w:val="16"/>
                <w:szCs w:val="16"/>
              </w:rPr>
              <w:t>Coneval</w:t>
            </w:r>
            <w:r w:rsidRPr="00067004">
              <w:rPr>
                <w:rFonts w:ascii="Arial" w:hAnsi="Arial" w:cs="Arial"/>
                <w:sz w:val="16"/>
                <w:szCs w:val="16"/>
              </w:rPr>
              <w:t xml:space="preserve"> (2013). Medición de la Pobreza en México 2012 (programa en Stata).</w:t>
            </w:r>
          </w:p>
          <w:p w14:paraId="4D527823" w14:textId="77777777" w:rsidR="00DC2A00" w:rsidRPr="00067004" w:rsidRDefault="00DC2A00" w:rsidP="00DC2A00">
            <w:pPr>
              <w:rPr>
                <w:rFonts w:ascii="Arial" w:hAnsi="Arial" w:cs="Arial"/>
                <w:sz w:val="16"/>
                <w:szCs w:val="16"/>
              </w:rPr>
            </w:pPr>
            <w:r w:rsidRPr="00067004">
              <w:rPr>
                <w:rFonts w:ascii="Arial" w:hAnsi="Arial" w:cs="Arial"/>
                <w:smallCaps/>
                <w:sz w:val="16"/>
                <w:szCs w:val="16"/>
              </w:rPr>
              <w:t xml:space="preserve">Coneval </w:t>
            </w:r>
            <w:r w:rsidRPr="00067004">
              <w:rPr>
                <w:rFonts w:ascii="Arial" w:hAnsi="Arial" w:cs="Arial"/>
                <w:sz w:val="16"/>
                <w:szCs w:val="16"/>
              </w:rPr>
              <w:t>(2017). Medición de la Pobreza en México 2016 (programa en Stata).</w:t>
            </w:r>
          </w:p>
          <w:p w14:paraId="6FD7AAB5" w14:textId="08E0715B" w:rsidR="00DC2A00" w:rsidRPr="00067004" w:rsidRDefault="00DC2A00" w:rsidP="00DC2A00">
            <w:pPr>
              <w:rPr>
                <w:rFonts w:ascii="Arial" w:hAnsi="Arial" w:cs="Arial"/>
                <w:sz w:val="16"/>
                <w:szCs w:val="16"/>
              </w:rPr>
            </w:pPr>
            <w:r w:rsidRPr="00067004">
              <w:rPr>
                <w:rFonts w:ascii="Arial" w:hAnsi="Arial" w:cs="Arial"/>
                <w:caps/>
                <w:sz w:val="16"/>
                <w:szCs w:val="16"/>
              </w:rPr>
              <w:t>Inegi</w:t>
            </w:r>
            <w:r w:rsidRPr="00067004">
              <w:rPr>
                <w:rFonts w:ascii="Arial" w:hAnsi="Arial" w:cs="Arial"/>
                <w:smallCaps/>
                <w:sz w:val="16"/>
                <w:szCs w:val="16"/>
              </w:rPr>
              <w:t xml:space="preserve"> </w:t>
            </w:r>
            <w:r w:rsidRPr="00067004">
              <w:rPr>
                <w:rFonts w:ascii="Arial" w:hAnsi="Arial" w:cs="Arial"/>
                <w:sz w:val="16"/>
                <w:szCs w:val="16"/>
              </w:rPr>
              <w:t>(2013</w:t>
            </w:r>
            <w:r w:rsidR="00FD061F" w:rsidRPr="00067004">
              <w:rPr>
                <w:rFonts w:ascii="Arial" w:hAnsi="Arial" w:cs="Arial"/>
                <w:sz w:val="16"/>
                <w:szCs w:val="16"/>
              </w:rPr>
              <w:t>a</w:t>
            </w:r>
            <w:r w:rsidRPr="00067004">
              <w:rPr>
                <w:rFonts w:ascii="Arial" w:hAnsi="Arial" w:cs="Arial"/>
                <w:sz w:val="16"/>
                <w:szCs w:val="16"/>
              </w:rPr>
              <w:t xml:space="preserve">). Encuesta Nacional de Ingresos y Gastos de los Hogares 2012, Módulo de Condiciones Socioeconómicas (base de </w:t>
            </w:r>
            <w:proofErr w:type="spellStart"/>
            <w:r w:rsidRPr="00067004">
              <w:rPr>
                <w:rFonts w:ascii="Arial" w:hAnsi="Arial" w:cs="Arial"/>
                <w:sz w:val="16"/>
                <w:szCs w:val="16"/>
              </w:rPr>
              <w:t>microdatos</w:t>
            </w:r>
            <w:proofErr w:type="spellEnd"/>
            <w:r w:rsidRPr="00067004">
              <w:rPr>
                <w:rFonts w:ascii="Arial" w:hAnsi="Arial" w:cs="Arial"/>
                <w:sz w:val="16"/>
                <w:szCs w:val="16"/>
              </w:rPr>
              <w:t>).</w:t>
            </w:r>
          </w:p>
          <w:p w14:paraId="3FBCD358" w14:textId="76CCA2F5" w:rsidR="00DC2A00" w:rsidRPr="00FF7D07" w:rsidRDefault="0072338B" w:rsidP="00DC2A00">
            <w:pPr>
              <w:rPr>
                <w:rFonts w:ascii="Arial" w:hAnsi="Arial" w:cs="Arial"/>
                <w:sz w:val="16"/>
                <w:szCs w:val="16"/>
              </w:rPr>
            </w:pPr>
            <w:r w:rsidRPr="00067004">
              <w:rPr>
                <w:rFonts w:ascii="Arial" w:hAnsi="Arial" w:cs="Arial"/>
                <w:caps/>
                <w:sz w:val="16"/>
                <w:szCs w:val="16"/>
              </w:rPr>
              <w:t>Inegi</w:t>
            </w:r>
            <w:r w:rsidR="00DC2A00" w:rsidRPr="00067004">
              <w:rPr>
                <w:rFonts w:ascii="Arial" w:hAnsi="Arial" w:cs="Arial"/>
                <w:smallCaps/>
                <w:sz w:val="16"/>
                <w:szCs w:val="16"/>
              </w:rPr>
              <w:t xml:space="preserve"> </w:t>
            </w:r>
            <w:r w:rsidR="00DC2A00" w:rsidRPr="00067004">
              <w:rPr>
                <w:rFonts w:ascii="Arial" w:hAnsi="Arial" w:cs="Arial"/>
                <w:sz w:val="16"/>
                <w:szCs w:val="16"/>
              </w:rPr>
              <w:t xml:space="preserve">(2017). Encuesta Nacional de Ingresos y Gastos de los Hogares 2016 (base de </w:t>
            </w:r>
            <w:proofErr w:type="spellStart"/>
            <w:r w:rsidR="00DC2A00" w:rsidRPr="00067004">
              <w:rPr>
                <w:rFonts w:ascii="Arial" w:hAnsi="Arial" w:cs="Arial"/>
                <w:sz w:val="16"/>
                <w:szCs w:val="16"/>
              </w:rPr>
              <w:t>microdatos</w:t>
            </w:r>
            <w:bookmarkStart w:id="2" w:name="_GoBack"/>
            <w:bookmarkEnd w:id="2"/>
            <w:proofErr w:type="spellEnd"/>
            <w:r w:rsidR="00DC2A00" w:rsidRPr="00FF7D07">
              <w:rPr>
                <w:rFonts w:ascii="Arial" w:hAnsi="Arial" w:cs="Arial"/>
                <w:sz w:val="16"/>
                <w:szCs w:val="16"/>
              </w:rPr>
              <w:t>).</w:t>
            </w:r>
          </w:p>
          <w:p w14:paraId="4A04BEE5" w14:textId="2394993A" w:rsidR="00DC2A00" w:rsidRPr="00FF7D07" w:rsidRDefault="0072338B" w:rsidP="00DC2A00">
            <w:pPr>
              <w:rPr>
                <w:rFonts w:ascii="Arial" w:hAnsi="Arial" w:cs="Arial"/>
                <w:sz w:val="16"/>
                <w:szCs w:val="16"/>
              </w:rPr>
            </w:pPr>
            <w:r w:rsidRPr="00477A8F">
              <w:rPr>
                <w:rFonts w:ascii="Arial" w:hAnsi="Arial" w:cs="Arial"/>
                <w:caps/>
                <w:sz w:val="16"/>
                <w:szCs w:val="16"/>
              </w:rPr>
              <w:t>Inegi</w:t>
            </w:r>
            <w:r w:rsidRPr="00DC2A00" w:rsidDel="0072338B">
              <w:rPr>
                <w:rFonts w:ascii="Arial" w:hAnsi="Arial" w:cs="Arial"/>
                <w:smallCaps/>
                <w:sz w:val="16"/>
                <w:szCs w:val="16"/>
              </w:rPr>
              <w:t xml:space="preserve"> </w:t>
            </w:r>
            <w:r w:rsidR="00DC2A00" w:rsidRPr="00FF7D07">
              <w:rPr>
                <w:rFonts w:ascii="Arial" w:hAnsi="Arial" w:cs="Arial"/>
                <w:sz w:val="16"/>
                <w:szCs w:val="16"/>
              </w:rPr>
              <w:t>(2013</w:t>
            </w:r>
            <w:r w:rsidR="00FD061F">
              <w:rPr>
                <w:rFonts w:ascii="Arial" w:hAnsi="Arial" w:cs="Arial"/>
                <w:sz w:val="16"/>
                <w:szCs w:val="16"/>
              </w:rPr>
              <w:t>b</w:t>
            </w:r>
            <w:r w:rsidR="00DC2A00" w:rsidRPr="00FF7D07">
              <w:rPr>
                <w:rFonts w:ascii="Arial" w:hAnsi="Arial" w:cs="Arial"/>
                <w:sz w:val="16"/>
                <w:szCs w:val="16"/>
              </w:rPr>
              <w:t xml:space="preserve">). Encuesta Nacional de Ocupación y Empleo, 2° trimestre de 2013 (base de </w:t>
            </w:r>
            <w:proofErr w:type="spellStart"/>
            <w:r w:rsidR="00DC2A00" w:rsidRPr="00FF7D07">
              <w:rPr>
                <w:rFonts w:ascii="Arial" w:hAnsi="Arial" w:cs="Arial"/>
                <w:sz w:val="16"/>
                <w:szCs w:val="16"/>
              </w:rPr>
              <w:t>microdatos</w:t>
            </w:r>
            <w:proofErr w:type="spellEnd"/>
            <w:r w:rsidR="00DC2A00" w:rsidRPr="00FF7D07">
              <w:rPr>
                <w:rFonts w:ascii="Arial" w:hAnsi="Arial" w:cs="Arial"/>
                <w:sz w:val="16"/>
                <w:szCs w:val="16"/>
              </w:rPr>
              <w:t>).</w:t>
            </w:r>
          </w:p>
          <w:p w14:paraId="331C2E8F" w14:textId="6BADB287" w:rsidR="00DC2A00" w:rsidRPr="00FF7D07" w:rsidRDefault="0072338B" w:rsidP="00DC2A00">
            <w:pPr>
              <w:rPr>
                <w:rFonts w:ascii="Arial" w:hAnsi="Arial" w:cs="Arial"/>
                <w:sz w:val="16"/>
                <w:szCs w:val="16"/>
              </w:rPr>
            </w:pPr>
            <w:r w:rsidRPr="00477A8F">
              <w:rPr>
                <w:rFonts w:ascii="Arial" w:hAnsi="Arial" w:cs="Arial"/>
                <w:caps/>
                <w:sz w:val="16"/>
                <w:szCs w:val="16"/>
              </w:rPr>
              <w:t>Inegi</w:t>
            </w:r>
            <w:r w:rsidRPr="00DC2A00" w:rsidDel="0072338B">
              <w:rPr>
                <w:rFonts w:ascii="Arial" w:hAnsi="Arial" w:cs="Arial"/>
                <w:smallCaps/>
                <w:sz w:val="16"/>
                <w:szCs w:val="16"/>
              </w:rPr>
              <w:t xml:space="preserve"> </w:t>
            </w:r>
            <w:r w:rsidR="00DC2A00" w:rsidRPr="00FF7D07">
              <w:rPr>
                <w:rFonts w:ascii="Arial" w:hAnsi="Arial" w:cs="Arial"/>
                <w:sz w:val="16"/>
                <w:szCs w:val="16"/>
              </w:rPr>
              <w:t>(2018</w:t>
            </w:r>
            <w:r w:rsidR="00FD061F">
              <w:rPr>
                <w:rFonts w:ascii="Arial" w:hAnsi="Arial" w:cs="Arial"/>
                <w:sz w:val="16"/>
                <w:szCs w:val="16"/>
              </w:rPr>
              <w:t>a</w:t>
            </w:r>
            <w:r w:rsidR="00DC2A00" w:rsidRPr="00FF7D07">
              <w:rPr>
                <w:rFonts w:ascii="Arial" w:hAnsi="Arial" w:cs="Arial"/>
                <w:sz w:val="16"/>
                <w:szCs w:val="16"/>
              </w:rPr>
              <w:t xml:space="preserve">). Encuesta Nacional de Ocupación y Empleo, 2° trimestre de 2018 (base de </w:t>
            </w:r>
            <w:proofErr w:type="spellStart"/>
            <w:r w:rsidR="00DC2A00" w:rsidRPr="00FF7D07">
              <w:rPr>
                <w:rFonts w:ascii="Arial" w:hAnsi="Arial" w:cs="Arial"/>
                <w:sz w:val="16"/>
                <w:szCs w:val="16"/>
              </w:rPr>
              <w:t>microdatos</w:t>
            </w:r>
            <w:proofErr w:type="spellEnd"/>
            <w:r w:rsidR="00DC2A00" w:rsidRPr="00FF7D07">
              <w:rPr>
                <w:rFonts w:ascii="Arial" w:hAnsi="Arial" w:cs="Arial"/>
                <w:sz w:val="16"/>
                <w:szCs w:val="16"/>
              </w:rPr>
              <w:t>).</w:t>
            </w:r>
          </w:p>
          <w:p w14:paraId="016179A6" w14:textId="5F5D885F" w:rsidR="00DC2A00" w:rsidRPr="002F3C5B" w:rsidRDefault="00DC2A00" w:rsidP="009579C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3175E8B4" w14:textId="59F74E27" w:rsidR="00BC61BA" w:rsidRDefault="00BC61BA" w:rsidP="00CC37DD">
            <w:pPr>
              <w:pStyle w:val="Encabezado"/>
              <w:tabs>
                <w:tab w:val="left" w:pos="4500"/>
                <w:tab w:val="left" w:pos="4680"/>
              </w:tabs>
              <w:ind w:right="113"/>
              <w:jc w:val="both"/>
              <w:rPr>
                <w:rFonts w:cs="Arial"/>
                <w:sz w:val="16"/>
                <w:szCs w:val="16"/>
              </w:rPr>
            </w:pPr>
          </w:p>
          <w:p w14:paraId="136CFD30" w14:textId="77777777" w:rsidR="00CC37DD" w:rsidRPr="00A00339" w:rsidRDefault="00CC37DD" w:rsidP="00CC37DD">
            <w:pPr>
              <w:pStyle w:val="Encabezado"/>
              <w:tabs>
                <w:tab w:val="left" w:pos="4500"/>
                <w:tab w:val="left" w:pos="4680"/>
              </w:tabs>
              <w:spacing w:before="40"/>
              <w:ind w:right="113"/>
              <w:jc w:val="both"/>
              <w:rPr>
                <w:rFonts w:cs="Arial"/>
                <w:sz w:val="16"/>
                <w:szCs w:val="16"/>
              </w:rPr>
            </w:pPr>
            <w:r w:rsidRPr="00A00339">
              <w:rPr>
                <w:rFonts w:cs="Arial"/>
                <w:b/>
                <w:sz w:val="16"/>
                <w:szCs w:val="16"/>
              </w:rPr>
              <w:t>Notas</w:t>
            </w:r>
          </w:p>
          <w:p w14:paraId="0583A724" w14:textId="01A6D31E" w:rsidR="009725C3" w:rsidRDefault="00CC37DD" w:rsidP="000C113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shd w:val="clear" w:color="auto" w:fill="FFFFFF"/>
              </w:rPr>
            </w:pPr>
            <w:r w:rsidRPr="004719A2">
              <w:rPr>
                <w:rFonts w:ascii="Arial" w:hAnsi="Arial" w:cs="Arial"/>
                <w:sz w:val="12"/>
                <w:szCs w:val="12"/>
                <w:shd w:val="clear" w:color="auto" w:fill="FFFFFF"/>
                <w:vertAlign w:val="superscript"/>
              </w:rPr>
              <w:t>1</w:t>
            </w:r>
            <w:r w:rsidRPr="004719A2">
              <w:rPr>
                <w:rFonts w:ascii="Arial" w:hAnsi="Arial" w:cs="Arial"/>
                <w:sz w:val="12"/>
                <w:szCs w:val="12"/>
                <w:lang w:val="es-MX"/>
              </w:rPr>
              <w:t xml:space="preserve"> </w:t>
            </w:r>
            <w:r w:rsidR="005A60EF" w:rsidRPr="004719A2">
              <w:rPr>
                <w:rFonts w:ascii="Arial" w:hAnsi="Arial" w:cs="Arial"/>
                <w:sz w:val="12"/>
                <w:szCs w:val="12"/>
                <w:shd w:val="clear" w:color="auto" w:fill="FFFFFF"/>
              </w:rPr>
              <w:t xml:space="preserve">Ver </w:t>
            </w:r>
            <w:r w:rsidR="00C36BD5">
              <w:rPr>
                <w:rFonts w:ascii="Arial" w:hAnsi="Arial" w:cs="Arial"/>
                <w:sz w:val="12"/>
                <w:szCs w:val="12"/>
                <w:shd w:val="clear" w:color="auto" w:fill="FFFFFF"/>
              </w:rPr>
              <w:t xml:space="preserve">la </w:t>
            </w:r>
            <w:r w:rsidR="005A60EF" w:rsidRPr="004719A2">
              <w:rPr>
                <w:rFonts w:ascii="Arial" w:hAnsi="Arial" w:cs="Arial"/>
                <w:sz w:val="12"/>
                <w:szCs w:val="12"/>
                <w:shd w:val="clear" w:color="auto" w:fill="FFFFFF"/>
              </w:rPr>
              <w:t>nota técnica “Subpoblaciones, escolaridad y población atendible</w:t>
            </w:r>
            <w:r w:rsidR="005A60EF" w:rsidRPr="00CF0023">
              <w:rPr>
                <w:rFonts w:ascii="Arial" w:hAnsi="Arial" w:cs="Arial"/>
                <w:sz w:val="12"/>
                <w:szCs w:val="12"/>
                <w:shd w:val="clear" w:color="auto" w:fill="FFFFFF"/>
              </w:rPr>
              <w:t xml:space="preserve">” </w:t>
            </w:r>
            <w:r w:rsidR="00CF0023" w:rsidRPr="00067004">
              <w:rPr>
                <w:rFonts w:ascii="Arial" w:hAnsi="Arial" w:cs="Arial"/>
                <w:color w:val="000000"/>
                <w:sz w:val="12"/>
                <w:szCs w:val="12"/>
                <w:lang w:val="es-MX" w:eastAsia="es-MX"/>
              </w:rPr>
              <w:t xml:space="preserve">en </w:t>
            </w:r>
            <w:r w:rsidR="00CF0023" w:rsidRPr="00067004">
              <w:rPr>
                <w:rFonts w:ascii="Arial" w:hAnsi="Arial" w:cs="Arial"/>
                <w:i/>
                <w:iCs/>
                <w:color w:val="000000"/>
                <w:sz w:val="12"/>
                <w:szCs w:val="12"/>
                <w:lang w:val="es-MX" w:eastAsia="es-MX"/>
              </w:rPr>
              <w:t>Panorama Educativo de México 2017</w:t>
            </w:r>
            <w:r w:rsidR="00CF0023" w:rsidRPr="00067004">
              <w:rPr>
                <w:rFonts w:ascii="Arial" w:hAnsi="Arial" w:cs="Arial"/>
                <w:color w:val="000000"/>
                <w:sz w:val="12"/>
                <w:szCs w:val="12"/>
                <w:lang w:val="es-MX" w:eastAsia="es-MX"/>
              </w:rPr>
              <w:t xml:space="preserve"> (INEE, 2018b, </w:t>
            </w:r>
            <w:r w:rsidR="005E3CAC">
              <w:rPr>
                <w:rFonts w:ascii="Arial" w:hAnsi="Arial" w:cs="Arial"/>
                <w:color w:val="000000"/>
                <w:sz w:val="12"/>
                <w:szCs w:val="12"/>
                <w:lang w:val="es-MX" w:eastAsia="es-MX"/>
              </w:rPr>
              <w:t>p</w:t>
            </w:r>
            <w:r w:rsidR="00CF0023" w:rsidRPr="00067004">
              <w:rPr>
                <w:rFonts w:ascii="Arial" w:hAnsi="Arial" w:cs="Arial"/>
                <w:color w:val="000000"/>
                <w:sz w:val="12"/>
                <w:szCs w:val="12"/>
                <w:lang w:val="es-MX" w:eastAsia="es-MX"/>
              </w:rPr>
              <w:t>p. 167</w:t>
            </w:r>
            <w:r w:rsidR="005E3CAC">
              <w:rPr>
                <w:rFonts w:ascii="Arial" w:hAnsi="Arial" w:cs="Arial"/>
                <w:color w:val="000000"/>
                <w:sz w:val="12"/>
                <w:szCs w:val="12"/>
                <w:lang w:val="es-MX" w:eastAsia="es-MX"/>
              </w:rPr>
              <w:t>-170</w:t>
            </w:r>
            <w:r w:rsidR="00CF0023" w:rsidRPr="00067004">
              <w:rPr>
                <w:rFonts w:ascii="Arial" w:hAnsi="Arial" w:cs="Arial"/>
                <w:color w:val="000000"/>
                <w:sz w:val="12"/>
                <w:szCs w:val="12"/>
                <w:lang w:val="es-MX" w:eastAsia="es-MX"/>
              </w:rPr>
              <w:t>)</w:t>
            </w:r>
            <w:r w:rsidR="00860B01" w:rsidRPr="00CF0023">
              <w:rPr>
                <w:rFonts w:ascii="Arial" w:hAnsi="Arial" w:cs="Arial"/>
                <w:sz w:val="12"/>
                <w:szCs w:val="12"/>
                <w:shd w:val="clear" w:color="auto" w:fill="FFFFFF"/>
              </w:rPr>
              <w:t>.</w:t>
            </w:r>
          </w:p>
          <w:p w14:paraId="5739CBF7" w14:textId="77FDD2ED" w:rsidR="00C36BD5" w:rsidRPr="00182378" w:rsidRDefault="00C36BD5" w:rsidP="000C113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182378">
              <w:rPr>
                <w:rFonts w:ascii="Arial" w:hAnsi="Arial" w:cs="Arial"/>
                <w:sz w:val="12"/>
                <w:szCs w:val="12"/>
                <w:shd w:val="clear" w:color="auto" w:fill="FFFFFF"/>
                <w:vertAlign w:val="superscript"/>
              </w:rPr>
              <w:t>2</w:t>
            </w:r>
            <w:r w:rsidR="00182378" w:rsidRPr="00182378">
              <w:rPr>
                <w:rFonts w:ascii="Arial" w:hAnsi="Arial" w:cs="Arial"/>
                <w:sz w:val="12"/>
                <w:szCs w:val="12"/>
                <w:shd w:val="clear" w:color="auto" w:fill="FFFFFF"/>
              </w:rPr>
              <w:t xml:space="preserve"> </w:t>
            </w:r>
            <w:r w:rsidR="00182378" w:rsidRPr="00182378">
              <w:rPr>
                <w:rFonts w:ascii="Arial" w:hAnsi="Arial" w:cs="Arial"/>
                <w:sz w:val="12"/>
                <w:szCs w:val="12"/>
              </w:rPr>
              <w:t>Según el criterio de la CDI. Ver también la nota técnica</w:t>
            </w:r>
            <w:r w:rsidR="00182378" w:rsidRPr="00182378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182378" w:rsidRPr="00182378">
              <w:rPr>
                <w:rFonts w:ascii="Arial" w:hAnsi="Arial" w:cs="Arial"/>
                <w:sz w:val="12"/>
                <w:szCs w:val="12"/>
              </w:rPr>
              <w:t xml:space="preserve">“Subpoblaciones, nivel de escolaridad y población atendible” </w:t>
            </w:r>
            <w:r w:rsidR="005E3CAC" w:rsidRPr="00674F58">
              <w:rPr>
                <w:rFonts w:ascii="Arial" w:hAnsi="Arial" w:cs="Arial"/>
                <w:color w:val="000000"/>
                <w:sz w:val="12"/>
                <w:szCs w:val="12"/>
                <w:lang w:val="es-MX" w:eastAsia="es-MX"/>
              </w:rPr>
              <w:t xml:space="preserve">en </w:t>
            </w:r>
            <w:r w:rsidR="005E3CAC" w:rsidRPr="00674F58">
              <w:rPr>
                <w:rFonts w:ascii="Arial" w:hAnsi="Arial" w:cs="Arial"/>
                <w:i/>
                <w:iCs/>
                <w:color w:val="000000"/>
                <w:sz w:val="12"/>
                <w:szCs w:val="12"/>
                <w:lang w:val="es-MX" w:eastAsia="es-MX"/>
              </w:rPr>
              <w:t>Panorama Educativo de México 2017</w:t>
            </w:r>
            <w:r w:rsidR="005E3CAC" w:rsidRPr="00674F58">
              <w:rPr>
                <w:rFonts w:ascii="Arial" w:hAnsi="Arial" w:cs="Arial"/>
                <w:color w:val="000000"/>
                <w:sz w:val="12"/>
                <w:szCs w:val="12"/>
                <w:lang w:val="es-MX" w:eastAsia="es-MX"/>
              </w:rPr>
              <w:t xml:space="preserve"> (INEE, 2018b, </w:t>
            </w:r>
            <w:r w:rsidR="005E3CAC">
              <w:rPr>
                <w:rFonts w:ascii="Arial" w:hAnsi="Arial" w:cs="Arial"/>
                <w:color w:val="000000"/>
                <w:sz w:val="12"/>
                <w:szCs w:val="12"/>
                <w:lang w:val="es-MX" w:eastAsia="es-MX"/>
              </w:rPr>
              <w:t>p</w:t>
            </w:r>
            <w:r w:rsidR="005E3CAC" w:rsidRPr="00674F58">
              <w:rPr>
                <w:rFonts w:ascii="Arial" w:hAnsi="Arial" w:cs="Arial"/>
                <w:color w:val="000000"/>
                <w:sz w:val="12"/>
                <w:szCs w:val="12"/>
                <w:lang w:val="es-MX" w:eastAsia="es-MX"/>
              </w:rPr>
              <w:t>p. 167</w:t>
            </w:r>
            <w:r w:rsidR="005E3CAC">
              <w:rPr>
                <w:rFonts w:ascii="Arial" w:hAnsi="Arial" w:cs="Arial"/>
                <w:color w:val="000000"/>
                <w:sz w:val="12"/>
                <w:szCs w:val="12"/>
                <w:lang w:val="es-MX" w:eastAsia="es-MX"/>
              </w:rPr>
              <w:t>-170</w:t>
            </w:r>
            <w:r w:rsidR="005E3CAC" w:rsidRPr="00674F58">
              <w:rPr>
                <w:rFonts w:ascii="Arial" w:hAnsi="Arial" w:cs="Arial"/>
                <w:color w:val="000000"/>
                <w:sz w:val="12"/>
                <w:szCs w:val="12"/>
                <w:lang w:val="es-MX" w:eastAsia="es-MX"/>
              </w:rPr>
              <w:t>)</w:t>
            </w:r>
            <w:r w:rsidR="005E3CAC" w:rsidRPr="00CF0023">
              <w:rPr>
                <w:rFonts w:ascii="Arial" w:hAnsi="Arial" w:cs="Arial"/>
                <w:sz w:val="12"/>
                <w:szCs w:val="12"/>
                <w:shd w:val="clear" w:color="auto" w:fill="FFFFFF"/>
              </w:rPr>
              <w:t>.</w:t>
            </w:r>
          </w:p>
        </w:tc>
      </w:tr>
    </w:tbl>
    <w:p w14:paraId="7FAC3A71" w14:textId="77777777" w:rsidR="00DE3574" w:rsidRPr="00A00339" w:rsidRDefault="00DE3574" w:rsidP="0093543B">
      <w:pPr>
        <w:jc w:val="both"/>
        <w:rPr>
          <w:rFonts w:ascii="Arial" w:hAnsi="Arial" w:cs="Arial"/>
          <w:sz w:val="16"/>
          <w:szCs w:val="16"/>
        </w:rPr>
      </w:pPr>
    </w:p>
    <w:p w14:paraId="0D4AEBE7" w14:textId="77777777" w:rsidR="00DE3574" w:rsidRPr="00470ACB" w:rsidRDefault="00DE3574" w:rsidP="0093543B">
      <w:pPr>
        <w:jc w:val="both"/>
        <w:rPr>
          <w:rFonts w:ascii="Arial" w:hAnsi="Arial" w:cs="Arial"/>
        </w:rPr>
      </w:pPr>
    </w:p>
    <w:p w14:paraId="0E48B14C" w14:textId="77777777" w:rsidR="00DE3574" w:rsidRPr="00470ACB" w:rsidRDefault="00DE3574" w:rsidP="0093543B">
      <w:pPr>
        <w:jc w:val="both"/>
        <w:rPr>
          <w:rFonts w:ascii="Arial" w:hAnsi="Arial" w:cs="Arial"/>
        </w:rPr>
      </w:pPr>
    </w:p>
    <w:p w14:paraId="15C662D0" w14:textId="77777777" w:rsidR="00DE3574" w:rsidRPr="00470ACB" w:rsidRDefault="00BC61BA" w:rsidP="00470ACB">
      <w:pPr>
        <w:rPr>
          <w:rFonts w:ascii="Arial" w:hAnsi="Arial" w:cs="Arial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75BA12" wp14:editId="10700787">
                <wp:simplePos x="0" y="0"/>
                <wp:positionH relativeFrom="column">
                  <wp:posOffset>-23523</wp:posOffset>
                </wp:positionH>
                <wp:positionV relativeFrom="paragraph">
                  <wp:posOffset>79706</wp:posOffset>
                </wp:positionV>
                <wp:extent cx="4572000" cy="1514104"/>
                <wp:effectExtent l="0" t="0" r="19050" b="1016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151410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F36402D" w14:textId="77777777" w:rsidR="00830FB2" w:rsidRDefault="00830FB2" w:rsidP="0028294E">
                            <w:pPr>
                              <w:spacing w:after="40"/>
                              <w:ind w:right="108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R</w:t>
                            </w:r>
                            <w:r w:rsidR="00B5691B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eferente de evaluación</w:t>
                            </w:r>
                          </w:p>
                          <w:p w14:paraId="6F48DA82" w14:textId="5F91D4AB" w:rsidR="0028294E" w:rsidRDefault="0028294E" w:rsidP="00B5691B">
                            <w:pPr>
                              <w:spacing w:after="40"/>
                              <w:ind w:right="108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La asistencia de la población atendible en </w:t>
                            </w:r>
                            <w:r w:rsidR="000473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secundaria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de</w:t>
                            </w:r>
                            <w:r w:rsidR="00A93DF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bería ser 100%</w:t>
                            </w:r>
                            <w:r w:rsidR="000473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="00A93DF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mientras </w:t>
                            </w:r>
                            <w:r w:rsidR="000473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que la</w:t>
                            </w:r>
                            <w:r w:rsidR="00A44D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de la</w:t>
                            </w:r>
                            <w:r w:rsidR="000473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E75EF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población </w:t>
                            </w:r>
                            <w:r w:rsidR="00976B4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atendible en </w:t>
                            </w:r>
                            <w:r w:rsidR="000473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media superior debería </w:t>
                            </w:r>
                            <w:r w:rsidR="004C766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aproximarse</w:t>
                            </w:r>
                            <w:r w:rsidR="000473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a 100% a medida que </w:t>
                            </w:r>
                            <w:r w:rsidR="004C766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se acerque el ciclo</w:t>
                            </w:r>
                            <w:r w:rsidR="005A60E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A60EF" w:rsidRPr="004719A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escolar</w:t>
                            </w:r>
                            <w:r w:rsidR="004C766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2021</w:t>
                            </w:r>
                            <w:r w:rsidR="0088060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="004C766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2022</w:t>
                            </w:r>
                            <w:r w:rsidR="000473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58F39719" w14:textId="208C200A" w:rsidR="00830FB2" w:rsidRDefault="0028294E" w:rsidP="00B5691B">
                            <w:pPr>
                              <w:spacing w:after="40"/>
                              <w:ind w:right="108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Idealmente, si la asistencia ocurriera en condiciones óptimas de equidad, el indicador sería similar para todos los subgrupos </w:t>
                            </w:r>
                            <w:r w:rsidR="00CB3A6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poblacionales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: indígenas-</w:t>
                            </w:r>
                            <w:r w:rsidR="0018237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resto de la población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, pobres-no pobres, entre otros.</w:t>
                            </w:r>
                          </w:p>
                          <w:p w14:paraId="13F88D40" w14:textId="77777777" w:rsidR="00CE3C1E" w:rsidRPr="00763005" w:rsidRDefault="00CE3C1E" w:rsidP="00B5691B">
                            <w:pPr>
                              <w:spacing w:after="40"/>
                              <w:ind w:right="108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1EBB8B94" w14:textId="27CE7827" w:rsidR="002F16BC" w:rsidRPr="00B5691B" w:rsidRDefault="002F16BC" w:rsidP="002F16BC">
                            <w:pPr>
                              <w:spacing w:after="40"/>
                              <w:ind w:right="108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Ver a</w:t>
                            </w:r>
                            <w:r w:rsidRPr="00B5691B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rtículos 3º y 31 de la 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CPEUM</w:t>
                            </w:r>
                            <w:r w:rsidRPr="00B5691B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9579C9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(</w:t>
                            </w:r>
                            <w:r w:rsidR="00A44D6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2018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, </w:t>
                            </w:r>
                            <w:r w:rsidR="00A44D6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27</w:t>
                            </w:r>
                            <w:r w:rsidR="0025038B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de </w:t>
                            </w:r>
                            <w:r w:rsidR="00A44D6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agosto</w:t>
                            </w:r>
                            <w:r w:rsidRPr="00B5691B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)</w:t>
                            </w:r>
                            <w:r w:rsidR="009579C9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, </w:t>
                            </w:r>
                            <w:r w:rsidRPr="00B5691B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y 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a</w:t>
                            </w:r>
                            <w:r w:rsidRPr="00B5691B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rtículos 2, 3 y 4 de la </w:t>
                            </w:r>
                            <w:r w:rsidRPr="00A54A8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LGE</w:t>
                            </w:r>
                            <w:r w:rsidRPr="00B5691B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(201</w:t>
                            </w:r>
                            <w:r w:rsidR="0025038B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, </w:t>
                            </w:r>
                            <w:r w:rsidR="00A44D6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19 </w:t>
                            </w:r>
                            <w:r w:rsidR="00880D5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de enero</w:t>
                            </w:r>
                            <w:r w:rsidRPr="00B5691B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)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  <w:p w14:paraId="414F8AB2" w14:textId="4037260D" w:rsidR="00763005" w:rsidRPr="00B5691B" w:rsidRDefault="00763005" w:rsidP="002F16BC">
                            <w:pPr>
                              <w:spacing w:after="40"/>
                              <w:ind w:right="108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54000" tIns="46800" rIns="54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575BA12" id="AutoShape 3" o:spid="_x0000_s1027" style="position:absolute;margin-left:-1.85pt;margin-top:6.3pt;width:5in;height:11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">
                <v:textbox inset="1.5mm,1.3mm,1.5mm,.3mm">
                  <w:txbxContent>
                    <w:p w14:paraId="4F36402D" w14:textId="77777777" w:rsidR="00830FB2" w:rsidRDefault="00830FB2" w:rsidP="0028294E">
                      <w:pPr>
                        <w:spacing w:after="40"/>
                        <w:ind w:right="108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R</w:t>
                      </w:r>
                      <w:r w:rsidR="00B5691B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eferente de evaluación</w:t>
                      </w:r>
                    </w:p>
                    <w:p w14:paraId="6F48DA82" w14:textId="5F91D4AB" w:rsidR="0028294E" w:rsidRDefault="0028294E" w:rsidP="00B5691B">
                      <w:pPr>
                        <w:spacing w:after="40"/>
                        <w:ind w:right="108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La asistencia de la población atendible en </w:t>
                      </w:r>
                      <w:r w:rsidR="00047345">
                        <w:rPr>
                          <w:rFonts w:ascii="Arial" w:hAnsi="Arial" w:cs="Arial"/>
                          <w:sz w:val="16"/>
                          <w:szCs w:val="16"/>
                        </w:rPr>
                        <w:t>secundaria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de</w:t>
                      </w:r>
                      <w:r w:rsidR="00A93DFD">
                        <w:rPr>
                          <w:rFonts w:ascii="Arial" w:hAnsi="Arial" w:cs="Arial"/>
                          <w:sz w:val="16"/>
                          <w:szCs w:val="16"/>
                        </w:rPr>
                        <w:t>bería ser 100%</w:t>
                      </w:r>
                      <w:r w:rsidR="000473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, </w:t>
                      </w:r>
                      <w:r w:rsidR="00A93DFD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mientras </w:t>
                      </w:r>
                      <w:r w:rsidR="00047345">
                        <w:rPr>
                          <w:rFonts w:ascii="Arial" w:hAnsi="Arial" w:cs="Arial"/>
                          <w:sz w:val="16"/>
                          <w:szCs w:val="16"/>
                        </w:rPr>
                        <w:t>que la</w:t>
                      </w:r>
                      <w:r w:rsidR="00A44D6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de la</w:t>
                      </w:r>
                      <w:r w:rsidR="000473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 w:rsidR="00E75EF0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población </w:t>
                      </w:r>
                      <w:r w:rsidR="00976B4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atendible en </w:t>
                      </w:r>
                      <w:r w:rsidR="000473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media superior debería </w:t>
                      </w:r>
                      <w:r w:rsidR="004C7662">
                        <w:rPr>
                          <w:rFonts w:ascii="Arial" w:hAnsi="Arial" w:cs="Arial"/>
                          <w:sz w:val="16"/>
                          <w:szCs w:val="16"/>
                        </w:rPr>
                        <w:t>aproximarse</w:t>
                      </w:r>
                      <w:r w:rsidR="000473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a 100% a medida que </w:t>
                      </w:r>
                      <w:r w:rsidR="004C7662">
                        <w:rPr>
                          <w:rFonts w:ascii="Arial" w:hAnsi="Arial" w:cs="Arial"/>
                          <w:sz w:val="16"/>
                          <w:szCs w:val="16"/>
                        </w:rPr>
                        <w:t>se acerque el ciclo</w:t>
                      </w:r>
                      <w:r w:rsidR="005A60EF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 w:rsidR="005A60EF" w:rsidRPr="004719A2">
                        <w:rPr>
                          <w:rFonts w:ascii="Arial" w:hAnsi="Arial" w:cs="Arial"/>
                          <w:sz w:val="16"/>
                          <w:szCs w:val="16"/>
                        </w:rPr>
                        <w:t>escolar</w:t>
                      </w:r>
                      <w:r w:rsidR="004C7662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2021</w:t>
                      </w:r>
                      <w:r w:rsidR="0088060F">
                        <w:rPr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="004C7662">
                        <w:rPr>
                          <w:rFonts w:ascii="Arial" w:hAnsi="Arial" w:cs="Arial"/>
                          <w:sz w:val="16"/>
                          <w:szCs w:val="16"/>
                        </w:rPr>
                        <w:t>2022</w:t>
                      </w:r>
                      <w:r w:rsidR="00047345"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</w:p>
                    <w:p w14:paraId="58F39719" w14:textId="208C200A" w:rsidR="00830FB2" w:rsidRDefault="0028294E" w:rsidP="00B5691B">
                      <w:pPr>
                        <w:spacing w:after="40"/>
                        <w:ind w:right="108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Idealmente, si la asistencia ocurriera en condiciones óptimas de equidad, el indicador sería similar para todos los subgrupos </w:t>
                      </w:r>
                      <w:r w:rsidR="00CB3A63">
                        <w:rPr>
                          <w:rFonts w:ascii="Arial" w:hAnsi="Arial" w:cs="Arial"/>
                          <w:sz w:val="16"/>
                          <w:szCs w:val="16"/>
                        </w:rPr>
                        <w:t>poblacionales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: indígenas-</w:t>
                      </w:r>
                      <w:r w:rsidR="00182378">
                        <w:rPr>
                          <w:rFonts w:ascii="Arial" w:hAnsi="Arial" w:cs="Arial"/>
                          <w:sz w:val="16"/>
                          <w:szCs w:val="16"/>
                        </w:rPr>
                        <w:t>resto de la población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, pobres-no pobres, entre otros.</w:t>
                      </w:r>
                    </w:p>
                    <w:p w14:paraId="13F88D40" w14:textId="77777777" w:rsidR="00CE3C1E" w:rsidRPr="00763005" w:rsidRDefault="00CE3C1E" w:rsidP="00B5691B">
                      <w:pPr>
                        <w:spacing w:after="40"/>
                        <w:ind w:right="108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1EBB8B94" w14:textId="27CE7827" w:rsidR="002F16BC" w:rsidRPr="00B5691B" w:rsidRDefault="002F16BC" w:rsidP="002F16BC">
                      <w:pPr>
                        <w:spacing w:after="40"/>
                        <w:ind w:right="108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>Ver a</w:t>
                      </w:r>
                      <w:r w:rsidRPr="00B5691B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rtículos 3º y 31 de la 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>CPEUM</w:t>
                      </w:r>
                      <w:r w:rsidRPr="00B5691B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</w:t>
                      </w:r>
                      <w:r w:rsidR="009579C9">
                        <w:rPr>
                          <w:rFonts w:ascii="Arial" w:hAnsi="Arial" w:cs="Arial"/>
                          <w:sz w:val="12"/>
                          <w:szCs w:val="12"/>
                        </w:rPr>
                        <w:t>(</w:t>
                      </w:r>
                      <w:r w:rsidR="00A44D67">
                        <w:rPr>
                          <w:rFonts w:ascii="Arial" w:hAnsi="Arial" w:cs="Arial"/>
                          <w:sz w:val="12"/>
                          <w:szCs w:val="12"/>
                        </w:rPr>
                        <w:t>2018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, </w:t>
                      </w:r>
                      <w:r w:rsidR="00A44D67">
                        <w:rPr>
                          <w:rFonts w:ascii="Arial" w:hAnsi="Arial" w:cs="Arial"/>
                          <w:sz w:val="12"/>
                          <w:szCs w:val="12"/>
                        </w:rPr>
                        <w:t>27</w:t>
                      </w:r>
                      <w:r w:rsidR="0025038B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de </w:t>
                      </w:r>
                      <w:r w:rsidR="00A44D67">
                        <w:rPr>
                          <w:rFonts w:ascii="Arial" w:hAnsi="Arial" w:cs="Arial"/>
                          <w:sz w:val="12"/>
                          <w:szCs w:val="12"/>
                        </w:rPr>
                        <w:t>agosto</w:t>
                      </w:r>
                      <w:r w:rsidRPr="00B5691B">
                        <w:rPr>
                          <w:rFonts w:ascii="Arial" w:hAnsi="Arial" w:cs="Arial"/>
                          <w:sz w:val="12"/>
                          <w:szCs w:val="12"/>
                        </w:rPr>
                        <w:t>)</w:t>
                      </w:r>
                      <w:r w:rsidR="009579C9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, </w:t>
                      </w:r>
                      <w:r w:rsidRPr="00B5691B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y 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>a</w:t>
                      </w:r>
                      <w:r w:rsidRPr="00B5691B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rtículos 2, 3 y 4 de la </w:t>
                      </w:r>
                      <w:r w:rsidRPr="00A54A83">
                        <w:rPr>
                          <w:rFonts w:ascii="Arial" w:hAnsi="Arial" w:cs="Arial"/>
                          <w:sz w:val="12"/>
                          <w:szCs w:val="12"/>
                        </w:rPr>
                        <w:t>LGE</w:t>
                      </w:r>
                      <w:r w:rsidRPr="00B5691B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(201</w:t>
                      </w:r>
                      <w:r w:rsidR="0025038B">
                        <w:rPr>
                          <w:rFonts w:ascii="Arial" w:hAnsi="Arial" w:cs="Arial"/>
                          <w:sz w:val="12"/>
                          <w:szCs w:val="12"/>
                        </w:rPr>
                        <w:t>8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, </w:t>
                      </w:r>
                      <w:r w:rsidR="00A44D67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19 </w:t>
                      </w:r>
                      <w:r w:rsidR="00880D53">
                        <w:rPr>
                          <w:rFonts w:ascii="Arial" w:hAnsi="Arial" w:cs="Arial"/>
                          <w:sz w:val="12"/>
                          <w:szCs w:val="12"/>
                        </w:rPr>
                        <w:t>de enero</w:t>
                      </w:r>
                      <w:r w:rsidRPr="00B5691B">
                        <w:rPr>
                          <w:rFonts w:ascii="Arial" w:hAnsi="Arial" w:cs="Arial"/>
                          <w:sz w:val="12"/>
                          <w:szCs w:val="12"/>
                        </w:rPr>
                        <w:t>)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>.</w:t>
                      </w:r>
                    </w:p>
                    <w:p w14:paraId="414F8AB2" w14:textId="4037260D" w:rsidR="00763005" w:rsidRPr="00B5691B" w:rsidRDefault="00763005" w:rsidP="002F16BC">
                      <w:pPr>
                        <w:spacing w:after="40"/>
                        <w:ind w:right="108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6C993DC" w14:textId="77777777" w:rsidR="00DE3574" w:rsidRPr="00470ACB" w:rsidRDefault="00DE3574" w:rsidP="00470ACB">
      <w:pPr>
        <w:rPr>
          <w:rFonts w:ascii="Arial" w:hAnsi="Arial" w:cs="Arial"/>
        </w:rPr>
      </w:pPr>
    </w:p>
    <w:p w14:paraId="2E3A5802" w14:textId="77777777" w:rsidR="00DE3574" w:rsidRPr="00470ACB" w:rsidRDefault="00DE3574" w:rsidP="00470ACB">
      <w:pPr>
        <w:rPr>
          <w:rFonts w:ascii="Arial" w:hAnsi="Arial" w:cs="Arial"/>
        </w:rPr>
      </w:pPr>
    </w:p>
    <w:p w14:paraId="0F4F0C96" w14:textId="77777777" w:rsidR="00DE3574" w:rsidRPr="00470ACB" w:rsidRDefault="00DE3574" w:rsidP="00470ACB">
      <w:pPr>
        <w:rPr>
          <w:rFonts w:ascii="Arial" w:hAnsi="Arial" w:cs="Arial"/>
        </w:rPr>
      </w:pPr>
    </w:p>
    <w:p w14:paraId="66A29162" w14:textId="77777777" w:rsidR="00FC1642" w:rsidRDefault="00FC1642">
      <w:pPr>
        <w:rPr>
          <w:rFonts w:ascii="Arial" w:hAnsi="Arial" w:cs="Arial"/>
        </w:rPr>
      </w:pPr>
    </w:p>
    <w:p w14:paraId="05B053F7" w14:textId="77777777" w:rsidR="00FE7C62" w:rsidRDefault="00FE7C62">
      <w:pPr>
        <w:rPr>
          <w:rFonts w:ascii="Arial" w:hAnsi="Arial" w:cs="Arial"/>
        </w:rPr>
      </w:pPr>
    </w:p>
    <w:sectPr w:rsidR="00FE7C62" w:rsidSect="00E4079F">
      <w:pgSz w:w="12242" w:h="15842" w:code="1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F09A94" w14:textId="77777777" w:rsidR="0043485A" w:rsidRDefault="0043485A" w:rsidP="00591140">
      <w:r>
        <w:separator/>
      </w:r>
    </w:p>
  </w:endnote>
  <w:endnote w:type="continuationSeparator" w:id="0">
    <w:p w14:paraId="658CA82F" w14:textId="77777777" w:rsidR="0043485A" w:rsidRDefault="0043485A" w:rsidP="00591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D93E5B" w14:textId="77777777" w:rsidR="0043485A" w:rsidRDefault="0043485A" w:rsidP="00591140">
      <w:r>
        <w:separator/>
      </w:r>
    </w:p>
  </w:footnote>
  <w:footnote w:type="continuationSeparator" w:id="0">
    <w:p w14:paraId="4B201A1A" w14:textId="77777777" w:rsidR="0043485A" w:rsidRDefault="0043485A" w:rsidP="005911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4501"/>
    <w:rsid w:val="000005D0"/>
    <w:rsid w:val="00004807"/>
    <w:rsid w:val="000048B5"/>
    <w:rsid w:val="00020179"/>
    <w:rsid w:val="0002529E"/>
    <w:rsid w:val="000257F8"/>
    <w:rsid w:val="00035A09"/>
    <w:rsid w:val="00037A9B"/>
    <w:rsid w:val="000400BB"/>
    <w:rsid w:val="00043A76"/>
    <w:rsid w:val="00047345"/>
    <w:rsid w:val="00052132"/>
    <w:rsid w:val="00056450"/>
    <w:rsid w:val="00056AC1"/>
    <w:rsid w:val="00063040"/>
    <w:rsid w:val="000648A7"/>
    <w:rsid w:val="00065294"/>
    <w:rsid w:val="00065303"/>
    <w:rsid w:val="00066006"/>
    <w:rsid w:val="00067004"/>
    <w:rsid w:val="0007322E"/>
    <w:rsid w:val="00077504"/>
    <w:rsid w:val="00080143"/>
    <w:rsid w:val="000813BB"/>
    <w:rsid w:val="000836CE"/>
    <w:rsid w:val="0008611E"/>
    <w:rsid w:val="00094F03"/>
    <w:rsid w:val="00095EC0"/>
    <w:rsid w:val="000A14F6"/>
    <w:rsid w:val="000A7767"/>
    <w:rsid w:val="000B16B9"/>
    <w:rsid w:val="000B3B65"/>
    <w:rsid w:val="000C113C"/>
    <w:rsid w:val="000C1B4A"/>
    <w:rsid w:val="000D1F9E"/>
    <w:rsid w:val="000E0C88"/>
    <w:rsid w:val="000E0E50"/>
    <w:rsid w:val="000E1B14"/>
    <w:rsid w:val="000F5190"/>
    <w:rsid w:val="001046DA"/>
    <w:rsid w:val="00106C20"/>
    <w:rsid w:val="001070E9"/>
    <w:rsid w:val="0010723C"/>
    <w:rsid w:val="00110726"/>
    <w:rsid w:val="00113526"/>
    <w:rsid w:val="00114317"/>
    <w:rsid w:val="001146D7"/>
    <w:rsid w:val="001217B7"/>
    <w:rsid w:val="00122FBF"/>
    <w:rsid w:val="001322AC"/>
    <w:rsid w:val="00132360"/>
    <w:rsid w:val="0013334B"/>
    <w:rsid w:val="00143074"/>
    <w:rsid w:val="00146E9E"/>
    <w:rsid w:val="001579E0"/>
    <w:rsid w:val="00161F6B"/>
    <w:rsid w:val="001666CC"/>
    <w:rsid w:val="001751A3"/>
    <w:rsid w:val="00177D5A"/>
    <w:rsid w:val="00182378"/>
    <w:rsid w:val="00186B6B"/>
    <w:rsid w:val="00187EED"/>
    <w:rsid w:val="00193486"/>
    <w:rsid w:val="001C277F"/>
    <w:rsid w:val="001C4115"/>
    <w:rsid w:val="001D00E7"/>
    <w:rsid w:val="001D21EE"/>
    <w:rsid w:val="001D7D0F"/>
    <w:rsid w:val="001E14E0"/>
    <w:rsid w:val="001E291E"/>
    <w:rsid w:val="001E6E2F"/>
    <w:rsid w:val="001F1C85"/>
    <w:rsid w:val="001F2E80"/>
    <w:rsid w:val="001F6801"/>
    <w:rsid w:val="00220F6F"/>
    <w:rsid w:val="00241686"/>
    <w:rsid w:val="0025038B"/>
    <w:rsid w:val="00255EA4"/>
    <w:rsid w:val="00256230"/>
    <w:rsid w:val="00263FB9"/>
    <w:rsid w:val="00264501"/>
    <w:rsid w:val="00265251"/>
    <w:rsid w:val="00265C95"/>
    <w:rsid w:val="0026797F"/>
    <w:rsid w:val="0027239E"/>
    <w:rsid w:val="00273131"/>
    <w:rsid w:val="00274886"/>
    <w:rsid w:val="00274A87"/>
    <w:rsid w:val="00276568"/>
    <w:rsid w:val="002817A5"/>
    <w:rsid w:val="0028294E"/>
    <w:rsid w:val="00284154"/>
    <w:rsid w:val="00284B62"/>
    <w:rsid w:val="00290FA0"/>
    <w:rsid w:val="002938AB"/>
    <w:rsid w:val="0029419C"/>
    <w:rsid w:val="0029596E"/>
    <w:rsid w:val="00296956"/>
    <w:rsid w:val="002A35B3"/>
    <w:rsid w:val="002A36B1"/>
    <w:rsid w:val="002A4AC3"/>
    <w:rsid w:val="002A604C"/>
    <w:rsid w:val="002B1C4F"/>
    <w:rsid w:val="002B2F64"/>
    <w:rsid w:val="002C316A"/>
    <w:rsid w:val="002C41C2"/>
    <w:rsid w:val="002E1ADE"/>
    <w:rsid w:val="002E6081"/>
    <w:rsid w:val="002E6E76"/>
    <w:rsid w:val="002F16BC"/>
    <w:rsid w:val="002F5455"/>
    <w:rsid w:val="002F6394"/>
    <w:rsid w:val="002F6EE7"/>
    <w:rsid w:val="002F755F"/>
    <w:rsid w:val="0031374D"/>
    <w:rsid w:val="003240DB"/>
    <w:rsid w:val="0032514D"/>
    <w:rsid w:val="00331940"/>
    <w:rsid w:val="00340E2A"/>
    <w:rsid w:val="00345427"/>
    <w:rsid w:val="0034551A"/>
    <w:rsid w:val="003475E0"/>
    <w:rsid w:val="00351B21"/>
    <w:rsid w:val="00352C61"/>
    <w:rsid w:val="003532B2"/>
    <w:rsid w:val="003535F8"/>
    <w:rsid w:val="00355098"/>
    <w:rsid w:val="00356669"/>
    <w:rsid w:val="00357699"/>
    <w:rsid w:val="00361588"/>
    <w:rsid w:val="0037252C"/>
    <w:rsid w:val="00373ED5"/>
    <w:rsid w:val="00376B32"/>
    <w:rsid w:val="00382F5F"/>
    <w:rsid w:val="00385B3D"/>
    <w:rsid w:val="00387BEF"/>
    <w:rsid w:val="00391BD2"/>
    <w:rsid w:val="00392075"/>
    <w:rsid w:val="003978B9"/>
    <w:rsid w:val="003A670C"/>
    <w:rsid w:val="003B165B"/>
    <w:rsid w:val="003B1A70"/>
    <w:rsid w:val="003B2BDA"/>
    <w:rsid w:val="003B6FCC"/>
    <w:rsid w:val="003B779A"/>
    <w:rsid w:val="003C2C94"/>
    <w:rsid w:val="003C3658"/>
    <w:rsid w:val="003D1CDF"/>
    <w:rsid w:val="003D2546"/>
    <w:rsid w:val="003D422C"/>
    <w:rsid w:val="003D719C"/>
    <w:rsid w:val="003E257C"/>
    <w:rsid w:val="003E26F6"/>
    <w:rsid w:val="003E5CCC"/>
    <w:rsid w:val="003F7D3E"/>
    <w:rsid w:val="00400CD3"/>
    <w:rsid w:val="00403BE6"/>
    <w:rsid w:val="0041002E"/>
    <w:rsid w:val="00411893"/>
    <w:rsid w:val="00415B06"/>
    <w:rsid w:val="00415BC0"/>
    <w:rsid w:val="0042379D"/>
    <w:rsid w:val="004243B5"/>
    <w:rsid w:val="004335EB"/>
    <w:rsid w:val="0043401A"/>
    <w:rsid w:val="0043468B"/>
    <w:rsid w:val="0043485A"/>
    <w:rsid w:val="00447D98"/>
    <w:rsid w:val="00453C6B"/>
    <w:rsid w:val="004549BF"/>
    <w:rsid w:val="0046207C"/>
    <w:rsid w:val="00470ACB"/>
    <w:rsid w:val="004719A2"/>
    <w:rsid w:val="00480AC0"/>
    <w:rsid w:val="00495EE4"/>
    <w:rsid w:val="004A27C1"/>
    <w:rsid w:val="004A6491"/>
    <w:rsid w:val="004A708E"/>
    <w:rsid w:val="004C37CE"/>
    <w:rsid w:val="004C7662"/>
    <w:rsid w:val="004C792E"/>
    <w:rsid w:val="004D2A0F"/>
    <w:rsid w:val="004E0682"/>
    <w:rsid w:val="004E0DF1"/>
    <w:rsid w:val="004E2AF9"/>
    <w:rsid w:val="004E40D9"/>
    <w:rsid w:val="004E45B1"/>
    <w:rsid w:val="004E5937"/>
    <w:rsid w:val="004E5AF9"/>
    <w:rsid w:val="004E5E42"/>
    <w:rsid w:val="004E65FE"/>
    <w:rsid w:val="004F0FAB"/>
    <w:rsid w:val="004F1C02"/>
    <w:rsid w:val="004F51F8"/>
    <w:rsid w:val="005019D7"/>
    <w:rsid w:val="00507BD3"/>
    <w:rsid w:val="00512863"/>
    <w:rsid w:val="00512F3E"/>
    <w:rsid w:val="0053100A"/>
    <w:rsid w:val="00531EE3"/>
    <w:rsid w:val="0053558C"/>
    <w:rsid w:val="005367D8"/>
    <w:rsid w:val="0053693C"/>
    <w:rsid w:val="00542C9C"/>
    <w:rsid w:val="00550213"/>
    <w:rsid w:val="00551917"/>
    <w:rsid w:val="00556EC9"/>
    <w:rsid w:val="00562A7A"/>
    <w:rsid w:val="00564430"/>
    <w:rsid w:val="005668C6"/>
    <w:rsid w:val="00575F4B"/>
    <w:rsid w:val="00580840"/>
    <w:rsid w:val="005817C0"/>
    <w:rsid w:val="0058280E"/>
    <w:rsid w:val="00585913"/>
    <w:rsid w:val="00586418"/>
    <w:rsid w:val="00591140"/>
    <w:rsid w:val="00594D83"/>
    <w:rsid w:val="00595C33"/>
    <w:rsid w:val="005A2E39"/>
    <w:rsid w:val="005A4360"/>
    <w:rsid w:val="005A60EF"/>
    <w:rsid w:val="005B0AE8"/>
    <w:rsid w:val="005B4CAD"/>
    <w:rsid w:val="005C00BA"/>
    <w:rsid w:val="005C39D2"/>
    <w:rsid w:val="005C40BB"/>
    <w:rsid w:val="005D49B8"/>
    <w:rsid w:val="005D662B"/>
    <w:rsid w:val="005D7D89"/>
    <w:rsid w:val="005E0AD5"/>
    <w:rsid w:val="005E30BD"/>
    <w:rsid w:val="005E31D9"/>
    <w:rsid w:val="005E3CAC"/>
    <w:rsid w:val="005E6F8A"/>
    <w:rsid w:val="005F1D3F"/>
    <w:rsid w:val="005F61F3"/>
    <w:rsid w:val="005F6567"/>
    <w:rsid w:val="005F69BD"/>
    <w:rsid w:val="005F7572"/>
    <w:rsid w:val="00602376"/>
    <w:rsid w:val="00610465"/>
    <w:rsid w:val="00611D9D"/>
    <w:rsid w:val="00612C5F"/>
    <w:rsid w:val="006161E4"/>
    <w:rsid w:val="006167E5"/>
    <w:rsid w:val="006243CB"/>
    <w:rsid w:val="00625021"/>
    <w:rsid w:val="006269D4"/>
    <w:rsid w:val="00646EF4"/>
    <w:rsid w:val="00646F72"/>
    <w:rsid w:val="00647E6B"/>
    <w:rsid w:val="00655002"/>
    <w:rsid w:val="006626EB"/>
    <w:rsid w:val="00671BF7"/>
    <w:rsid w:val="0067527C"/>
    <w:rsid w:val="00687962"/>
    <w:rsid w:val="006909A1"/>
    <w:rsid w:val="006910CC"/>
    <w:rsid w:val="0069446C"/>
    <w:rsid w:val="006A0543"/>
    <w:rsid w:val="006A0939"/>
    <w:rsid w:val="006A12C0"/>
    <w:rsid w:val="006A6D1E"/>
    <w:rsid w:val="006B0F46"/>
    <w:rsid w:val="006B2FAB"/>
    <w:rsid w:val="006B559F"/>
    <w:rsid w:val="006B578F"/>
    <w:rsid w:val="006C061D"/>
    <w:rsid w:val="006C55FF"/>
    <w:rsid w:val="006C6A10"/>
    <w:rsid w:val="006D4B6B"/>
    <w:rsid w:val="006D4E2C"/>
    <w:rsid w:val="006E6FCB"/>
    <w:rsid w:val="006F65BB"/>
    <w:rsid w:val="006F6B0E"/>
    <w:rsid w:val="007042B1"/>
    <w:rsid w:val="007075C9"/>
    <w:rsid w:val="00715D1F"/>
    <w:rsid w:val="00717A9B"/>
    <w:rsid w:val="0072338B"/>
    <w:rsid w:val="007269F4"/>
    <w:rsid w:val="007303D8"/>
    <w:rsid w:val="0073431C"/>
    <w:rsid w:val="00736849"/>
    <w:rsid w:val="0073717F"/>
    <w:rsid w:val="007410E8"/>
    <w:rsid w:val="007430D8"/>
    <w:rsid w:val="00743ACC"/>
    <w:rsid w:val="00746A5D"/>
    <w:rsid w:val="00752B95"/>
    <w:rsid w:val="0076183E"/>
    <w:rsid w:val="00763005"/>
    <w:rsid w:val="007678ED"/>
    <w:rsid w:val="00770A8B"/>
    <w:rsid w:val="007716C6"/>
    <w:rsid w:val="00773A5B"/>
    <w:rsid w:val="00780162"/>
    <w:rsid w:val="00781306"/>
    <w:rsid w:val="007876EB"/>
    <w:rsid w:val="00791178"/>
    <w:rsid w:val="00791F1E"/>
    <w:rsid w:val="00792583"/>
    <w:rsid w:val="007A1B04"/>
    <w:rsid w:val="007A561A"/>
    <w:rsid w:val="007A5813"/>
    <w:rsid w:val="007A6B03"/>
    <w:rsid w:val="007A7954"/>
    <w:rsid w:val="007B0022"/>
    <w:rsid w:val="007B7445"/>
    <w:rsid w:val="007C057D"/>
    <w:rsid w:val="007D2CCC"/>
    <w:rsid w:val="007D3149"/>
    <w:rsid w:val="007E0DEB"/>
    <w:rsid w:val="007E5B7C"/>
    <w:rsid w:val="007F08B1"/>
    <w:rsid w:val="007F24DF"/>
    <w:rsid w:val="007F2FE6"/>
    <w:rsid w:val="007F368D"/>
    <w:rsid w:val="007F37B6"/>
    <w:rsid w:val="007F78F8"/>
    <w:rsid w:val="00800AD1"/>
    <w:rsid w:val="0080107F"/>
    <w:rsid w:val="008019CB"/>
    <w:rsid w:val="00804DC8"/>
    <w:rsid w:val="00807BB8"/>
    <w:rsid w:val="00814857"/>
    <w:rsid w:val="00814B92"/>
    <w:rsid w:val="00815490"/>
    <w:rsid w:val="008230A8"/>
    <w:rsid w:val="00824219"/>
    <w:rsid w:val="00827719"/>
    <w:rsid w:val="00827DB8"/>
    <w:rsid w:val="00830B35"/>
    <w:rsid w:val="00830FB2"/>
    <w:rsid w:val="00834E6E"/>
    <w:rsid w:val="00836877"/>
    <w:rsid w:val="00840550"/>
    <w:rsid w:val="00843124"/>
    <w:rsid w:val="00847CC1"/>
    <w:rsid w:val="0085018B"/>
    <w:rsid w:val="00851075"/>
    <w:rsid w:val="008543A8"/>
    <w:rsid w:val="00860B01"/>
    <w:rsid w:val="008713AC"/>
    <w:rsid w:val="0087590A"/>
    <w:rsid w:val="008777E2"/>
    <w:rsid w:val="00877E53"/>
    <w:rsid w:val="0088060F"/>
    <w:rsid w:val="00880957"/>
    <w:rsid w:val="00880D53"/>
    <w:rsid w:val="008828A7"/>
    <w:rsid w:val="0088352D"/>
    <w:rsid w:val="00885AA8"/>
    <w:rsid w:val="00891373"/>
    <w:rsid w:val="0089313A"/>
    <w:rsid w:val="008954D3"/>
    <w:rsid w:val="008975BE"/>
    <w:rsid w:val="0089795C"/>
    <w:rsid w:val="008A0CB0"/>
    <w:rsid w:val="008A0F19"/>
    <w:rsid w:val="008A3176"/>
    <w:rsid w:val="008A40D1"/>
    <w:rsid w:val="008A7E36"/>
    <w:rsid w:val="008B3418"/>
    <w:rsid w:val="008B3BA8"/>
    <w:rsid w:val="008B4712"/>
    <w:rsid w:val="008B4998"/>
    <w:rsid w:val="008B7A28"/>
    <w:rsid w:val="008C10D5"/>
    <w:rsid w:val="008C4BBB"/>
    <w:rsid w:val="008C4F9C"/>
    <w:rsid w:val="008C7D20"/>
    <w:rsid w:val="008D2FC7"/>
    <w:rsid w:val="008D5D77"/>
    <w:rsid w:val="008D6515"/>
    <w:rsid w:val="008D7A60"/>
    <w:rsid w:val="008E0DB8"/>
    <w:rsid w:val="008E1D9F"/>
    <w:rsid w:val="008E2F9F"/>
    <w:rsid w:val="008E6134"/>
    <w:rsid w:val="008F140A"/>
    <w:rsid w:val="008F59A2"/>
    <w:rsid w:val="00901140"/>
    <w:rsid w:val="00903CAE"/>
    <w:rsid w:val="00904178"/>
    <w:rsid w:val="00906273"/>
    <w:rsid w:val="00906490"/>
    <w:rsid w:val="009064A1"/>
    <w:rsid w:val="00911E4E"/>
    <w:rsid w:val="0091626C"/>
    <w:rsid w:val="00917131"/>
    <w:rsid w:val="00920E03"/>
    <w:rsid w:val="0093543B"/>
    <w:rsid w:val="009367A7"/>
    <w:rsid w:val="009420F1"/>
    <w:rsid w:val="009461D9"/>
    <w:rsid w:val="00951464"/>
    <w:rsid w:val="00956DE7"/>
    <w:rsid w:val="009579C9"/>
    <w:rsid w:val="009611FE"/>
    <w:rsid w:val="0096146A"/>
    <w:rsid w:val="00961DB7"/>
    <w:rsid w:val="00970BC8"/>
    <w:rsid w:val="009725C3"/>
    <w:rsid w:val="00973C29"/>
    <w:rsid w:val="00974CD5"/>
    <w:rsid w:val="0097595C"/>
    <w:rsid w:val="00976B44"/>
    <w:rsid w:val="0098257A"/>
    <w:rsid w:val="00991CEE"/>
    <w:rsid w:val="00994AF8"/>
    <w:rsid w:val="0099651B"/>
    <w:rsid w:val="009A0A12"/>
    <w:rsid w:val="009A439A"/>
    <w:rsid w:val="009B1574"/>
    <w:rsid w:val="009B3DA3"/>
    <w:rsid w:val="009C0A9C"/>
    <w:rsid w:val="009C2419"/>
    <w:rsid w:val="009C3BA5"/>
    <w:rsid w:val="009C63A2"/>
    <w:rsid w:val="009D7582"/>
    <w:rsid w:val="009E4491"/>
    <w:rsid w:val="009F0261"/>
    <w:rsid w:val="009F4BE2"/>
    <w:rsid w:val="009F6435"/>
    <w:rsid w:val="009F7072"/>
    <w:rsid w:val="00A00339"/>
    <w:rsid w:val="00A06807"/>
    <w:rsid w:val="00A10F3A"/>
    <w:rsid w:val="00A15686"/>
    <w:rsid w:val="00A1660D"/>
    <w:rsid w:val="00A2779C"/>
    <w:rsid w:val="00A27C34"/>
    <w:rsid w:val="00A34CC1"/>
    <w:rsid w:val="00A42B67"/>
    <w:rsid w:val="00A43DAD"/>
    <w:rsid w:val="00A44BA9"/>
    <w:rsid w:val="00A44D67"/>
    <w:rsid w:val="00A45A2A"/>
    <w:rsid w:val="00A64BC3"/>
    <w:rsid w:val="00A65726"/>
    <w:rsid w:val="00A65BBB"/>
    <w:rsid w:val="00A71356"/>
    <w:rsid w:val="00A72326"/>
    <w:rsid w:val="00A76F9C"/>
    <w:rsid w:val="00A777C2"/>
    <w:rsid w:val="00A80C24"/>
    <w:rsid w:val="00A92E64"/>
    <w:rsid w:val="00A93DFD"/>
    <w:rsid w:val="00A9437E"/>
    <w:rsid w:val="00A95403"/>
    <w:rsid w:val="00A97919"/>
    <w:rsid w:val="00AA09E1"/>
    <w:rsid w:val="00AA0CCC"/>
    <w:rsid w:val="00AA0E42"/>
    <w:rsid w:val="00AA2181"/>
    <w:rsid w:val="00AA52F9"/>
    <w:rsid w:val="00AA7513"/>
    <w:rsid w:val="00AA7648"/>
    <w:rsid w:val="00AB6F72"/>
    <w:rsid w:val="00AB7C92"/>
    <w:rsid w:val="00AC0723"/>
    <w:rsid w:val="00AC48F5"/>
    <w:rsid w:val="00AD5473"/>
    <w:rsid w:val="00AD73A8"/>
    <w:rsid w:val="00AD77BB"/>
    <w:rsid w:val="00AD7D9C"/>
    <w:rsid w:val="00AE0EC1"/>
    <w:rsid w:val="00AE4BAF"/>
    <w:rsid w:val="00AF2514"/>
    <w:rsid w:val="00AF7017"/>
    <w:rsid w:val="00B0746D"/>
    <w:rsid w:val="00B14F72"/>
    <w:rsid w:val="00B17964"/>
    <w:rsid w:val="00B21623"/>
    <w:rsid w:val="00B242FB"/>
    <w:rsid w:val="00B27015"/>
    <w:rsid w:val="00B27EF4"/>
    <w:rsid w:val="00B4085A"/>
    <w:rsid w:val="00B45F2C"/>
    <w:rsid w:val="00B47C0D"/>
    <w:rsid w:val="00B47ECB"/>
    <w:rsid w:val="00B5052D"/>
    <w:rsid w:val="00B508EE"/>
    <w:rsid w:val="00B53ADE"/>
    <w:rsid w:val="00B5691B"/>
    <w:rsid w:val="00B61402"/>
    <w:rsid w:val="00B64F2C"/>
    <w:rsid w:val="00B66715"/>
    <w:rsid w:val="00B67CD9"/>
    <w:rsid w:val="00B71BF2"/>
    <w:rsid w:val="00B757A6"/>
    <w:rsid w:val="00B77242"/>
    <w:rsid w:val="00B84543"/>
    <w:rsid w:val="00B86732"/>
    <w:rsid w:val="00B944FF"/>
    <w:rsid w:val="00B97065"/>
    <w:rsid w:val="00BA2FEA"/>
    <w:rsid w:val="00BA534C"/>
    <w:rsid w:val="00BA6574"/>
    <w:rsid w:val="00BA67DD"/>
    <w:rsid w:val="00BA6900"/>
    <w:rsid w:val="00BB2C68"/>
    <w:rsid w:val="00BC3427"/>
    <w:rsid w:val="00BC3F22"/>
    <w:rsid w:val="00BC4031"/>
    <w:rsid w:val="00BC61BA"/>
    <w:rsid w:val="00BD2E1B"/>
    <w:rsid w:val="00BD54E6"/>
    <w:rsid w:val="00BE01DA"/>
    <w:rsid w:val="00BE3752"/>
    <w:rsid w:val="00BE4B5A"/>
    <w:rsid w:val="00BE72B5"/>
    <w:rsid w:val="00BF152C"/>
    <w:rsid w:val="00BF3534"/>
    <w:rsid w:val="00C0404E"/>
    <w:rsid w:val="00C042BF"/>
    <w:rsid w:val="00C04859"/>
    <w:rsid w:val="00C05E82"/>
    <w:rsid w:val="00C07619"/>
    <w:rsid w:val="00C126D1"/>
    <w:rsid w:val="00C160EA"/>
    <w:rsid w:val="00C17D39"/>
    <w:rsid w:val="00C212BB"/>
    <w:rsid w:val="00C315EE"/>
    <w:rsid w:val="00C3369F"/>
    <w:rsid w:val="00C36BD5"/>
    <w:rsid w:val="00C40EF3"/>
    <w:rsid w:val="00C5340B"/>
    <w:rsid w:val="00C53C3C"/>
    <w:rsid w:val="00C54EA6"/>
    <w:rsid w:val="00C56431"/>
    <w:rsid w:val="00C57225"/>
    <w:rsid w:val="00C61FB2"/>
    <w:rsid w:val="00C6405D"/>
    <w:rsid w:val="00C66B0C"/>
    <w:rsid w:val="00C70A01"/>
    <w:rsid w:val="00C71F11"/>
    <w:rsid w:val="00C73856"/>
    <w:rsid w:val="00C75094"/>
    <w:rsid w:val="00C76F4F"/>
    <w:rsid w:val="00C77493"/>
    <w:rsid w:val="00C82DCE"/>
    <w:rsid w:val="00C861D7"/>
    <w:rsid w:val="00C8740B"/>
    <w:rsid w:val="00C87B67"/>
    <w:rsid w:val="00C902B0"/>
    <w:rsid w:val="00C9124B"/>
    <w:rsid w:val="00C9193C"/>
    <w:rsid w:val="00C91FE4"/>
    <w:rsid w:val="00C92964"/>
    <w:rsid w:val="00C97A7F"/>
    <w:rsid w:val="00CA4A52"/>
    <w:rsid w:val="00CA4B9B"/>
    <w:rsid w:val="00CA52F1"/>
    <w:rsid w:val="00CA601E"/>
    <w:rsid w:val="00CB0694"/>
    <w:rsid w:val="00CB07C9"/>
    <w:rsid w:val="00CB2240"/>
    <w:rsid w:val="00CB38A6"/>
    <w:rsid w:val="00CB3A63"/>
    <w:rsid w:val="00CB4940"/>
    <w:rsid w:val="00CB510F"/>
    <w:rsid w:val="00CB7AA6"/>
    <w:rsid w:val="00CC173A"/>
    <w:rsid w:val="00CC37DD"/>
    <w:rsid w:val="00CC3DE8"/>
    <w:rsid w:val="00CC7041"/>
    <w:rsid w:val="00CD50FF"/>
    <w:rsid w:val="00CD51EF"/>
    <w:rsid w:val="00CE00F0"/>
    <w:rsid w:val="00CE3C1E"/>
    <w:rsid w:val="00CE6227"/>
    <w:rsid w:val="00CE7BC0"/>
    <w:rsid w:val="00CF0023"/>
    <w:rsid w:val="00D02CA5"/>
    <w:rsid w:val="00D05957"/>
    <w:rsid w:val="00D05F79"/>
    <w:rsid w:val="00D12734"/>
    <w:rsid w:val="00D14129"/>
    <w:rsid w:val="00D1768B"/>
    <w:rsid w:val="00D2028E"/>
    <w:rsid w:val="00D21BBB"/>
    <w:rsid w:val="00D22B0E"/>
    <w:rsid w:val="00D23B3C"/>
    <w:rsid w:val="00D24D25"/>
    <w:rsid w:val="00D30BD1"/>
    <w:rsid w:val="00D30F35"/>
    <w:rsid w:val="00D3464F"/>
    <w:rsid w:val="00D35107"/>
    <w:rsid w:val="00D40307"/>
    <w:rsid w:val="00D41439"/>
    <w:rsid w:val="00D43554"/>
    <w:rsid w:val="00D443B4"/>
    <w:rsid w:val="00D473EC"/>
    <w:rsid w:val="00D47C38"/>
    <w:rsid w:val="00D50B05"/>
    <w:rsid w:val="00D519D6"/>
    <w:rsid w:val="00D55886"/>
    <w:rsid w:val="00D6169B"/>
    <w:rsid w:val="00D63304"/>
    <w:rsid w:val="00D63350"/>
    <w:rsid w:val="00D71071"/>
    <w:rsid w:val="00D73524"/>
    <w:rsid w:val="00D7392F"/>
    <w:rsid w:val="00D7398D"/>
    <w:rsid w:val="00D7548B"/>
    <w:rsid w:val="00D830B9"/>
    <w:rsid w:val="00D837A5"/>
    <w:rsid w:val="00D84B08"/>
    <w:rsid w:val="00D93F8B"/>
    <w:rsid w:val="00DA3101"/>
    <w:rsid w:val="00DA329F"/>
    <w:rsid w:val="00DA3F53"/>
    <w:rsid w:val="00DB5E82"/>
    <w:rsid w:val="00DB6086"/>
    <w:rsid w:val="00DC0A2D"/>
    <w:rsid w:val="00DC2A00"/>
    <w:rsid w:val="00DC7F64"/>
    <w:rsid w:val="00DD194F"/>
    <w:rsid w:val="00DD5448"/>
    <w:rsid w:val="00DE3574"/>
    <w:rsid w:val="00DE592C"/>
    <w:rsid w:val="00DF5723"/>
    <w:rsid w:val="00DF5818"/>
    <w:rsid w:val="00DF72D3"/>
    <w:rsid w:val="00E01B7A"/>
    <w:rsid w:val="00E10D67"/>
    <w:rsid w:val="00E12422"/>
    <w:rsid w:val="00E13137"/>
    <w:rsid w:val="00E169B9"/>
    <w:rsid w:val="00E17E83"/>
    <w:rsid w:val="00E22A87"/>
    <w:rsid w:val="00E23C88"/>
    <w:rsid w:val="00E25CEE"/>
    <w:rsid w:val="00E2627E"/>
    <w:rsid w:val="00E32B40"/>
    <w:rsid w:val="00E33648"/>
    <w:rsid w:val="00E40401"/>
    <w:rsid w:val="00E4079F"/>
    <w:rsid w:val="00E41B78"/>
    <w:rsid w:val="00E463BC"/>
    <w:rsid w:val="00E527C8"/>
    <w:rsid w:val="00E5623F"/>
    <w:rsid w:val="00E570F3"/>
    <w:rsid w:val="00E615AE"/>
    <w:rsid w:val="00E70974"/>
    <w:rsid w:val="00E741B6"/>
    <w:rsid w:val="00E75EF0"/>
    <w:rsid w:val="00E85263"/>
    <w:rsid w:val="00E85EE6"/>
    <w:rsid w:val="00E86A2F"/>
    <w:rsid w:val="00E86C45"/>
    <w:rsid w:val="00E91BF9"/>
    <w:rsid w:val="00E938D3"/>
    <w:rsid w:val="00E93EF8"/>
    <w:rsid w:val="00E95430"/>
    <w:rsid w:val="00EA1041"/>
    <w:rsid w:val="00EA30E1"/>
    <w:rsid w:val="00EB17E1"/>
    <w:rsid w:val="00EB301B"/>
    <w:rsid w:val="00EB76BC"/>
    <w:rsid w:val="00EC2B18"/>
    <w:rsid w:val="00EC3D5B"/>
    <w:rsid w:val="00EC7205"/>
    <w:rsid w:val="00ED1834"/>
    <w:rsid w:val="00ED4FC0"/>
    <w:rsid w:val="00EF0694"/>
    <w:rsid w:val="00EF0C9F"/>
    <w:rsid w:val="00EF2FD4"/>
    <w:rsid w:val="00EF37FD"/>
    <w:rsid w:val="00EF3DB7"/>
    <w:rsid w:val="00EF4FC7"/>
    <w:rsid w:val="00EF5033"/>
    <w:rsid w:val="00EF5A25"/>
    <w:rsid w:val="00EF69DD"/>
    <w:rsid w:val="00F03892"/>
    <w:rsid w:val="00F13428"/>
    <w:rsid w:val="00F13AA8"/>
    <w:rsid w:val="00F13EC0"/>
    <w:rsid w:val="00F14AC9"/>
    <w:rsid w:val="00F151E4"/>
    <w:rsid w:val="00F1657B"/>
    <w:rsid w:val="00F2258B"/>
    <w:rsid w:val="00F23152"/>
    <w:rsid w:val="00F26FA8"/>
    <w:rsid w:val="00F3139F"/>
    <w:rsid w:val="00F314E3"/>
    <w:rsid w:val="00F3157D"/>
    <w:rsid w:val="00F3187A"/>
    <w:rsid w:val="00F32754"/>
    <w:rsid w:val="00F438B3"/>
    <w:rsid w:val="00F44F66"/>
    <w:rsid w:val="00F46CB4"/>
    <w:rsid w:val="00F47B03"/>
    <w:rsid w:val="00F51FCD"/>
    <w:rsid w:val="00F565CE"/>
    <w:rsid w:val="00F65A26"/>
    <w:rsid w:val="00F709C6"/>
    <w:rsid w:val="00F719A0"/>
    <w:rsid w:val="00F7740E"/>
    <w:rsid w:val="00F811A4"/>
    <w:rsid w:val="00F86996"/>
    <w:rsid w:val="00F93E9E"/>
    <w:rsid w:val="00F954DB"/>
    <w:rsid w:val="00F9644B"/>
    <w:rsid w:val="00FA0F9A"/>
    <w:rsid w:val="00FA2D33"/>
    <w:rsid w:val="00FA3EC9"/>
    <w:rsid w:val="00FA5922"/>
    <w:rsid w:val="00FA5E69"/>
    <w:rsid w:val="00FA6D48"/>
    <w:rsid w:val="00FC1642"/>
    <w:rsid w:val="00FC1D8C"/>
    <w:rsid w:val="00FC3B9D"/>
    <w:rsid w:val="00FD061F"/>
    <w:rsid w:val="00FD2C1D"/>
    <w:rsid w:val="00FD2F4E"/>
    <w:rsid w:val="00FE7C62"/>
    <w:rsid w:val="00FF261C"/>
    <w:rsid w:val="00FF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ECECDE"/>
  <w15:docId w15:val="{27C20A86-EFDC-47BD-B3E3-6FD0819CB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64501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264501"/>
    <w:pPr>
      <w:keepNext/>
      <w:ind w:right="37"/>
      <w:jc w:val="both"/>
      <w:outlineLvl w:val="0"/>
    </w:pPr>
    <w:rPr>
      <w:rFonts w:ascii="Tahoma" w:hAnsi="Tahoma" w:cs="Tahoma"/>
      <w:i/>
      <w:sz w:val="20"/>
    </w:rPr>
  </w:style>
  <w:style w:type="paragraph" w:styleId="Ttulo3">
    <w:name w:val="heading 3"/>
    <w:basedOn w:val="Normal"/>
    <w:next w:val="Normal"/>
    <w:qFormat/>
    <w:rsid w:val="001666C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264501"/>
    <w:pPr>
      <w:tabs>
        <w:tab w:val="center" w:pos="4419"/>
        <w:tab w:val="right" w:pos="8838"/>
      </w:tabs>
    </w:pPr>
    <w:rPr>
      <w:rFonts w:ascii="Arial" w:hAnsi="Arial"/>
    </w:rPr>
  </w:style>
  <w:style w:type="character" w:styleId="Hipervnculo">
    <w:name w:val="Hyperlink"/>
    <w:rsid w:val="000257F8"/>
    <w:rPr>
      <w:rFonts w:cs="Times New Roman"/>
      <w:color w:val="0000FF"/>
      <w:u w:val="single"/>
    </w:rPr>
  </w:style>
  <w:style w:type="paragraph" w:styleId="Textodeglobo">
    <w:name w:val="Balloon Text"/>
    <w:basedOn w:val="Normal"/>
    <w:semiHidden/>
    <w:rsid w:val="00C04859"/>
    <w:rPr>
      <w:rFonts w:ascii="Tahoma" w:hAnsi="Tahoma" w:cs="Tahoma"/>
      <w:sz w:val="16"/>
      <w:szCs w:val="16"/>
    </w:rPr>
  </w:style>
  <w:style w:type="character" w:styleId="Hipervnculovisitado">
    <w:name w:val="FollowedHyperlink"/>
    <w:rsid w:val="00A72326"/>
    <w:rPr>
      <w:rFonts w:cs="Times New Roman"/>
      <w:color w:val="800080"/>
      <w:u w:val="single"/>
    </w:rPr>
  </w:style>
  <w:style w:type="table" w:styleId="Tablaconcuadrcula">
    <w:name w:val="Table Grid"/>
    <w:basedOn w:val="Tablanormal"/>
    <w:rsid w:val="001666CC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rsid w:val="0059114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591140"/>
  </w:style>
  <w:style w:type="character" w:styleId="Refdenotaalpie">
    <w:name w:val="footnote reference"/>
    <w:rsid w:val="00591140"/>
    <w:rPr>
      <w:vertAlign w:val="superscript"/>
    </w:rPr>
  </w:style>
  <w:style w:type="character" w:customStyle="1" w:styleId="apple-converted-space">
    <w:name w:val="apple-converted-space"/>
    <w:basedOn w:val="Fuentedeprrafopredeter"/>
    <w:rsid w:val="008D5D77"/>
  </w:style>
  <w:style w:type="character" w:styleId="Refdecomentario">
    <w:name w:val="annotation reference"/>
    <w:basedOn w:val="Fuentedeprrafopredeter"/>
    <w:semiHidden/>
    <w:unhideWhenUsed/>
    <w:rsid w:val="0002529E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02529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29E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02529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2529E"/>
    <w:rPr>
      <w:b/>
      <w:bCs/>
      <w:lang w:val="es-ES" w:eastAsia="es-ES"/>
    </w:rPr>
  </w:style>
  <w:style w:type="paragraph" w:styleId="Revisin">
    <w:name w:val="Revision"/>
    <w:hidden/>
    <w:uiPriority w:val="99"/>
    <w:semiHidden/>
    <w:rsid w:val="006626EB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D555A494B3DAA40A40699B2F00C4C95" ma:contentTypeVersion="2" ma:contentTypeDescription="Crear nuevo documento." ma:contentTypeScope="" ma:versionID="204a3ea384d738644f511ff0461176ce">
  <xsd:schema xmlns:xsd="http://www.w3.org/2001/XMLSchema" xmlns:xs="http://www.w3.org/2001/XMLSchema" xmlns:p="http://schemas.microsoft.com/office/2006/metadata/properties" xmlns:ns2="261677fe-61b0-4f11-bdc4-73dbac061fa3" targetNamespace="http://schemas.microsoft.com/office/2006/metadata/properties" ma:root="true" ma:fieldsID="0958c32de00b09a374e4edc65c2c47ca" ns2:_="">
    <xsd:import namespace="261677fe-61b0-4f11-bdc4-73dbac061f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1677fe-61b0-4f11-bdc4-73dbac061f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9132AB-2949-49E6-9AC1-185C2D19AF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ECBC9E-8FAE-4796-BED6-95010AE4AF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7F7246-0202-4F88-83D3-F26CA90A0B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1677fe-61b0-4f11-bdc4-73dbac061f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1236</TotalTime>
  <Pages>2</Pages>
  <Words>1024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Nombre del indicador:</vt:lpstr>
    </vt:vector>
  </TitlesOfParts>
  <Company>INEE</Company>
  <LinksUpToDate>false</LinksUpToDate>
  <CharactersWithSpaces>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 del indicador:</dc:title>
  <dc:creator>Rubén Sánchez</dc:creator>
  <cp:lastModifiedBy>NAA</cp:lastModifiedBy>
  <cp:revision>240</cp:revision>
  <cp:lastPrinted>2011-06-13T15:13:00Z</cp:lastPrinted>
  <dcterms:created xsi:type="dcterms:W3CDTF">2012-01-10T19:35:00Z</dcterms:created>
  <dcterms:modified xsi:type="dcterms:W3CDTF">2019-05-27T15:21:00Z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0x0101005D555A494B3DAA40A40699B2F00C4C95</vt:lpwstr>
  </property>
</Properties>
</file>