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9FEA0" w14:textId="77777777" w:rsidR="005B6B21" w:rsidRPr="00A87A28" w:rsidRDefault="008E60C1" w:rsidP="005B6B21">
      <w:pPr>
        <w:rPr>
          <w:sz w:val="16"/>
          <w:szCs w:val="16"/>
        </w:rPr>
      </w:pPr>
      <w:r>
        <w:rPr>
          <w:rFonts w:cs="Arial"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2819390" wp14:editId="6006C6C3">
                <wp:simplePos x="0" y="0"/>
                <wp:positionH relativeFrom="column">
                  <wp:posOffset>-451485</wp:posOffset>
                </wp:positionH>
                <wp:positionV relativeFrom="paragraph">
                  <wp:posOffset>-137796</wp:posOffset>
                </wp:positionV>
                <wp:extent cx="685800" cy="295275"/>
                <wp:effectExtent l="0" t="0" r="19050" b="2857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95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079A8A8" w14:textId="77777777" w:rsidR="00AB4055" w:rsidRPr="00B0503F" w:rsidRDefault="00AB4055" w:rsidP="00C13C83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B0503F">
                              <w:rPr>
                                <w:b/>
                                <w:sz w:val="20"/>
                                <w:szCs w:val="20"/>
                              </w:rPr>
                              <w:t>CS01b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819390" id="AutoShape 2" o:spid="_x0000_s1026" style="position:absolute;margin-left:-35.55pt;margin-top:-10.85pt;width:54pt;height:23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">
                <v:textbox inset="0,0,0,0">
                  <w:txbxContent>
                    <w:p w14:paraId="1079A8A8" w14:textId="77777777" w:rsidR="00AB4055" w:rsidRPr="00B0503F" w:rsidRDefault="00AB4055" w:rsidP="00C13C83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B0503F">
                        <w:rPr>
                          <w:b/>
                          <w:sz w:val="20"/>
                          <w:szCs w:val="20"/>
                        </w:rPr>
                        <w:t>CS01b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4"/>
      </w:tblGrid>
      <w:tr w:rsidR="005B6B21" w:rsidRPr="00A87A28" w14:paraId="0D5826F8" w14:textId="77777777" w:rsidTr="009061A0">
        <w:trPr>
          <w:trHeight w:val="654"/>
          <w:jc w:val="center"/>
        </w:trPr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F9E9EF" w14:textId="77777777" w:rsidR="00B81227" w:rsidRPr="00A87A28" w:rsidRDefault="00B81227" w:rsidP="00B81227">
            <w:pPr>
              <w:tabs>
                <w:tab w:val="left" w:pos="0"/>
              </w:tabs>
              <w:ind w:right="110"/>
              <w:rPr>
                <w:rFonts w:cs="Arial"/>
                <w:b/>
                <w:bCs/>
                <w:sz w:val="16"/>
                <w:szCs w:val="16"/>
              </w:rPr>
            </w:pPr>
            <w:r w:rsidRPr="00A87A28">
              <w:rPr>
                <w:rFonts w:cs="Arial"/>
                <w:b/>
                <w:bCs/>
                <w:sz w:val="16"/>
                <w:szCs w:val="16"/>
              </w:rPr>
              <w:t>Nombre del indicador</w:t>
            </w:r>
          </w:p>
          <w:p w14:paraId="10905D4E" w14:textId="4E5D10C0" w:rsidR="005B6B21" w:rsidRPr="00A87A28" w:rsidRDefault="00B81227" w:rsidP="00F52D88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D14752">
              <w:rPr>
                <w:rFonts w:cs="Arial"/>
                <w:sz w:val="16"/>
                <w:szCs w:val="16"/>
              </w:rPr>
              <w:t xml:space="preserve">Tasa de crecimiento media anual de la población </w:t>
            </w:r>
            <w:r w:rsidR="00F52D88" w:rsidRPr="00D14752">
              <w:rPr>
                <w:rFonts w:cs="Arial"/>
                <w:sz w:val="16"/>
                <w:szCs w:val="16"/>
              </w:rPr>
              <w:t xml:space="preserve">según </w:t>
            </w:r>
            <w:r w:rsidRPr="00D14752">
              <w:rPr>
                <w:rFonts w:cs="Arial"/>
                <w:sz w:val="16"/>
                <w:szCs w:val="16"/>
              </w:rPr>
              <w:t>edad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02623B">
              <w:rPr>
                <w:rFonts w:cs="Arial"/>
                <w:sz w:val="16"/>
                <w:szCs w:val="16"/>
              </w:rPr>
              <w:t xml:space="preserve">idónea </w:t>
            </w:r>
            <w:r>
              <w:rPr>
                <w:rFonts w:cs="Arial"/>
                <w:sz w:val="16"/>
                <w:szCs w:val="16"/>
              </w:rPr>
              <w:t xml:space="preserve">para </w:t>
            </w:r>
            <w:r w:rsidR="007C3869">
              <w:rPr>
                <w:rFonts w:cs="Arial"/>
                <w:sz w:val="16"/>
                <w:szCs w:val="16"/>
              </w:rPr>
              <w:t>cursar</w:t>
            </w:r>
            <w:r w:rsidR="00D14752">
              <w:rPr>
                <w:rFonts w:cs="Arial"/>
                <w:sz w:val="16"/>
                <w:szCs w:val="16"/>
              </w:rPr>
              <w:t xml:space="preserve"> </w:t>
            </w:r>
            <w:r w:rsidR="00BD274C">
              <w:rPr>
                <w:rFonts w:cs="Arial"/>
                <w:sz w:val="16"/>
                <w:szCs w:val="16"/>
              </w:rPr>
              <w:t xml:space="preserve">la </w:t>
            </w:r>
            <w:r>
              <w:rPr>
                <w:rFonts w:cs="Arial"/>
                <w:sz w:val="16"/>
                <w:szCs w:val="16"/>
              </w:rPr>
              <w:t xml:space="preserve">educación </w:t>
            </w:r>
            <w:r w:rsidRPr="00BD274C">
              <w:rPr>
                <w:rFonts w:cs="Arial"/>
                <w:sz w:val="16"/>
                <w:szCs w:val="16"/>
              </w:rPr>
              <w:t>básica y media</w:t>
            </w:r>
            <w:r w:rsidRPr="00990946">
              <w:rPr>
                <w:rFonts w:cs="Arial"/>
                <w:sz w:val="16"/>
                <w:szCs w:val="16"/>
              </w:rPr>
              <w:t xml:space="preserve"> superior</w:t>
            </w:r>
          </w:p>
        </w:tc>
      </w:tr>
      <w:tr w:rsidR="005B6B21" w:rsidRPr="00A87A28" w14:paraId="2A182BD9" w14:textId="77777777" w:rsidTr="009061A0">
        <w:trPr>
          <w:trHeight w:val="976"/>
          <w:jc w:val="center"/>
        </w:trPr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DBC353" w14:textId="77777777" w:rsidR="00B81227" w:rsidRPr="00A87A28" w:rsidRDefault="00B81227" w:rsidP="00B81227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Definición</w:t>
            </w:r>
          </w:p>
          <w:p w14:paraId="4EE108B7" w14:textId="62BEFEFC" w:rsidR="005B6B21" w:rsidRPr="00A87A28" w:rsidRDefault="00B81227" w:rsidP="00983FBA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La tasa de crecimiento es</w:t>
            </w:r>
            <w:r w:rsidRPr="00C339B7">
              <w:rPr>
                <w:rFonts w:cs="Arial"/>
                <w:sz w:val="16"/>
                <w:szCs w:val="16"/>
              </w:rPr>
              <w:t xml:space="preserve"> la razón de cambio que experimenta </w:t>
            </w:r>
            <w:r>
              <w:rPr>
                <w:rFonts w:cs="Arial"/>
                <w:sz w:val="16"/>
                <w:szCs w:val="16"/>
              </w:rPr>
              <w:t xml:space="preserve">la población </w:t>
            </w:r>
            <w:r w:rsidR="00D57FA7">
              <w:rPr>
                <w:rFonts w:cs="Arial"/>
                <w:sz w:val="16"/>
                <w:szCs w:val="16"/>
              </w:rPr>
              <w:t>en edad</w:t>
            </w:r>
            <w:r w:rsidRPr="00B81227">
              <w:rPr>
                <w:rFonts w:cs="Arial"/>
                <w:sz w:val="16"/>
                <w:szCs w:val="16"/>
              </w:rPr>
              <w:t xml:space="preserve"> </w:t>
            </w:r>
            <w:r w:rsidR="0052743B">
              <w:rPr>
                <w:rFonts w:cs="Arial"/>
                <w:sz w:val="16"/>
                <w:szCs w:val="16"/>
              </w:rPr>
              <w:t>idónea</w:t>
            </w:r>
            <w:r w:rsidR="0064052B">
              <w:rPr>
                <w:rFonts w:cs="Arial"/>
                <w:sz w:val="16"/>
                <w:szCs w:val="16"/>
              </w:rPr>
              <w:t xml:space="preserve"> para </w:t>
            </w:r>
            <w:r w:rsidR="00F731E4">
              <w:rPr>
                <w:rFonts w:cs="Arial"/>
                <w:sz w:val="16"/>
                <w:szCs w:val="16"/>
              </w:rPr>
              <w:t xml:space="preserve">cursar </w:t>
            </w:r>
            <w:r w:rsidR="00BD274C">
              <w:rPr>
                <w:rFonts w:cs="Arial"/>
                <w:sz w:val="16"/>
                <w:szCs w:val="16"/>
              </w:rPr>
              <w:t xml:space="preserve">la </w:t>
            </w:r>
            <w:r w:rsidRPr="00BD274C">
              <w:rPr>
                <w:rFonts w:cs="Arial"/>
                <w:sz w:val="16"/>
                <w:szCs w:val="16"/>
              </w:rPr>
              <w:t>educación básica o media superior dentro de un lapso previamente especificado bajo el supuesto de que crece o decrece exponencialmente</w:t>
            </w:r>
            <w:r w:rsidR="00D91C21" w:rsidRPr="00BD274C">
              <w:rPr>
                <w:rFonts w:cs="Arial"/>
                <w:sz w:val="16"/>
                <w:szCs w:val="16"/>
              </w:rPr>
              <w:t>.</w:t>
            </w:r>
            <w:r w:rsidRPr="00BD274C">
              <w:rPr>
                <w:rFonts w:cs="Arial"/>
                <w:sz w:val="16"/>
                <w:szCs w:val="16"/>
                <w:vertAlign w:val="superscript"/>
              </w:rPr>
              <w:t>1</w:t>
            </w:r>
            <w:r w:rsidRPr="00BD274C">
              <w:rPr>
                <w:rFonts w:cs="Arial"/>
                <w:sz w:val="16"/>
                <w:szCs w:val="16"/>
              </w:rPr>
              <w:t xml:space="preserve"> Esta</w:t>
            </w:r>
            <w:r>
              <w:rPr>
                <w:rFonts w:cs="Arial"/>
                <w:sz w:val="16"/>
                <w:szCs w:val="16"/>
              </w:rPr>
              <w:t xml:space="preserve"> tasa se expresa por</w:t>
            </w:r>
            <w:r w:rsidR="00C31E48">
              <w:rPr>
                <w:rFonts w:cs="Arial"/>
                <w:sz w:val="16"/>
                <w:szCs w:val="16"/>
              </w:rPr>
              <w:t xml:space="preserve"> cada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64052B">
              <w:rPr>
                <w:rFonts w:cs="Arial"/>
                <w:sz w:val="16"/>
                <w:szCs w:val="16"/>
              </w:rPr>
              <w:t>cien</w:t>
            </w:r>
            <w:r w:rsidRPr="00C339B7">
              <w:rPr>
                <w:rFonts w:cs="Arial"/>
                <w:sz w:val="16"/>
                <w:szCs w:val="16"/>
              </w:rPr>
              <w:t xml:space="preserve"> habitantes.</w:t>
            </w:r>
          </w:p>
        </w:tc>
      </w:tr>
      <w:tr w:rsidR="005B6B21" w:rsidRPr="00A87A28" w14:paraId="7DD89F47" w14:textId="77777777" w:rsidTr="005B6B21">
        <w:trPr>
          <w:trHeight w:val="1530"/>
          <w:jc w:val="center"/>
        </w:trPr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C56F5BA" w14:textId="3EE38678" w:rsidR="005B6B21" w:rsidRDefault="00C13C83" w:rsidP="005B6B21">
            <w:pPr>
              <w:ind w:right="-70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Fórmula de cálculo</w:t>
            </w:r>
          </w:p>
          <w:p w14:paraId="2F1DCEDE" w14:textId="77777777" w:rsidR="005B6B21" w:rsidRPr="00BD274C" w:rsidRDefault="006815A6" w:rsidP="006D4499">
            <w:pPr>
              <w:ind w:right="-70"/>
              <w:jc w:val="center"/>
              <w:rPr>
                <w:rFonts w:cs="Arial"/>
                <w:i/>
                <w:color w:val="000000" w:themeColor="text1"/>
                <w:sz w:val="20"/>
                <w:szCs w:val="20"/>
              </w:rPr>
            </w:pPr>
            <w:proofErr w:type="spellStart"/>
            <m:oMathPara>
              <m:oMath>
                <m:r>
                  <m:rPr>
                    <m:nor/>
                  </m:rPr>
                  <w:rPr>
                    <w:rFonts w:cs="Arial"/>
                    <w:i/>
                    <w:color w:val="000000" w:themeColor="text1"/>
                    <w:sz w:val="20"/>
                    <w:szCs w:val="20"/>
                  </w:rPr>
                  <m:t>ln</m:t>
                </m:r>
                <w:proofErr w:type="spellEnd"/>
                <m:d>
                  <m:dPr>
                    <m:ctrlPr>
                      <w:rPr>
                        <w:rFonts w:ascii="Cambria Math" w:hAnsi="Cambria Math" w:cs="Arial"/>
                        <w:i/>
                        <w:color w:val="000000" w:themeColor="text1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fPr>
                      <m:num>
                        <m:sSubSup>
                          <m:sSubSupPr>
                            <m:ctrlPr>
                              <w:rPr>
                                <w:rFonts w:ascii="Cambria Math" w:hAnsi="Cambria Math" w:cs="Arial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m:ctrlPr>
                          </m:sSubSupPr>
                          <m:e>
                            <m:r>
                              <m:rPr>
                                <m:nor/>
                              </m:rPr>
                              <w:rPr>
                                <w:rFonts w:cs="Arial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m:t>P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cs="Arial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m:t>ge</m:t>
                            </m:r>
                          </m:sub>
                          <m:sup>
                            <m:r>
                              <m:rPr>
                                <m:nor/>
                              </m:rPr>
                              <w:rPr>
                                <w:rFonts w:cs="Arial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m:t>t+∆t</m:t>
                            </m:r>
                          </m:sup>
                        </m:sSubSup>
                      </m:num>
                      <m:den>
                        <m:sSubSup>
                          <m:sSubSupPr>
                            <m:ctrlPr>
                              <w:rPr>
                                <w:rFonts w:ascii="Cambria Math" w:hAnsi="Cambria Math" w:cs="Arial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m:ctrlPr>
                          </m:sSubSupPr>
                          <m:e>
                            <m:r>
                              <m:rPr>
                                <m:nor/>
                              </m:rPr>
                              <w:rPr>
                                <w:rFonts w:cs="Arial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m:t>P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cs="Arial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m:t>ge</m:t>
                            </m:r>
                          </m:sub>
                          <m:sup>
                            <m:r>
                              <m:rPr>
                                <m:nor/>
                              </m:rPr>
                              <w:rPr>
                                <w:rFonts w:cs="Arial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m:t>t</m:t>
                            </m:r>
                          </m:sup>
                        </m:sSubSup>
                      </m:den>
                    </m:f>
                  </m:e>
                </m:d>
                <m:r>
                  <m:rPr>
                    <m:nor/>
                  </m:rPr>
                  <w:rPr>
                    <w:rFonts w:cs="Arial"/>
                    <w:i/>
                    <w:color w:val="000000" w:themeColor="text1"/>
                    <w:sz w:val="20"/>
                    <w:szCs w:val="20"/>
                  </w:rPr>
                  <m:t>x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00" w:themeColor="text1"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cs="Arial"/>
                        <w:i/>
                        <w:color w:val="000000" w:themeColor="text1"/>
                        <w:sz w:val="20"/>
                        <w:szCs w:val="20"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rFonts w:cs="Arial"/>
                        <w:i/>
                        <w:color w:val="000000" w:themeColor="text1"/>
                        <w:sz w:val="20"/>
                        <w:szCs w:val="20"/>
                      </w:rPr>
                      <m:t>∆t</m:t>
                    </m:r>
                  </m:den>
                </m:f>
                <m:r>
                  <m:rPr>
                    <m:nor/>
                  </m:rPr>
                  <w:rPr>
                    <w:rFonts w:cs="Arial"/>
                    <w:i/>
                    <w:color w:val="000000" w:themeColor="text1"/>
                    <w:sz w:val="20"/>
                    <w:szCs w:val="20"/>
                  </w:rPr>
                  <m:t>x100</m:t>
                </m:r>
              </m:oMath>
            </m:oMathPara>
          </w:p>
          <w:p w14:paraId="2595DC83" w14:textId="77777777" w:rsidR="005B6B21" w:rsidRPr="00BD274C" w:rsidRDefault="005B6B21" w:rsidP="005B6B21">
            <w:pPr>
              <w:ind w:right="-70"/>
              <w:rPr>
                <w:rFonts w:cs="Arial"/>
                <w:color w:val="000000" w:themeColor="text1"/>
                <w:sz w:val="16"/>
                <w:szCs w:val="16"/>
              </w:rPr>
            </w:pPr>
            <w:r w:rsidRPr="00BD274C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tbl>
            <w:tblPr>
              <w:tblW w:w="5000" w:type="pct"/>
              <w:tblLayout w:type="fixed"/>
              <w:tblLook w:val="01E0" w:firstRow="1" w:lastRow="1" w:firstColumn="1" w:lastColumn="1" w:noHBand="0" w:noVBand="0"/>
            </w:tblPr>
            <w:tblGrid>
              <w:gridCol w:w="1360"/>
              <w:gridCol w:w="8354"/>
            </w:tblGrid>
            <w:tr w:rsidR="00BD274C" w:rsidRPr="00BD274C" w14:paraId="78BF6928" w14:textId="77777777" w:rsidTr="005B6B21">
              <w:trPr>
                <w:trHeight w:val="130"/>
              </w:trPr>
              <w:tc>
                <w:tcPr>
                  <w:tcW w:w="700" w:type="pct"/>
                  <w:tcMar>
                    <w:left w:w="57" w:type="dxa"/>
                    <w:right w:w="170" w:type="dxa"/>
                  </w:tcMar>
                  <w:vAlign w:val="center"/>
                </w:tcPr>
                <w:p w14:paraId="01395A78" w14:textId="77777777" w:rsidR="005B6B21" w:rsidRPr="00BD274C" w:rsidRDefault="003E6571" w:rsidP="006D4499">
                  <w:pPr>
                    <w:ind w:right="-70"/>
                    <w:jc w:val="center"/>
                    <w:rPr>
                      <w:rFonts w:cs="Arial"/>
                      <w:i/>
                      <w:color w:val="000000" w:themeColor="text1"/>
                      <w:sz w:val="16"/>
                      <w:szCs w:val="16"/>
                    </w:rPr>
                  </w:pPr>
                  <w:r w:rsidRPr="00BD274C">
                    <w:rPr>
                      <w:rFonts w:cs="Arial"/>
                      <w:i/>
                      <w:color w:val="000000" w:themeColor="text1"/>
                      <w:sz w:val="16"/>
                      <w:szCs w:val="16"/>
                    </w:rPr>
                    <w:t>t</w:t>
                  </w:r>
                </w:p>
              </w:tc>
              <w:tc>
                <w:tcPr>
                  <w:tcW w:w="4300" w:type="pct"/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10506F02" w14:textId="77777777" w:rsidR="005B6B21" w:rsidRPr="00BD274C" w:rsidRDefault="005B6B21" w:rsidP="005B6B21">
                  <w:pPr>
                    <w:ind w:right="-70"/>
                    <w:rPr>
                      <w:rFonts w:cs="Arial"/>
                      <w:color w:val="000000" w:themeColor="text1"/>
                      <w:sz w:val="16"/>
                      <w:szCs w:val="16"/>
                    </w:rPr>
                  </w:pPr>
                  <w:r w:rsidRPr="00BD274C">
                    <w:rPr>
                      <w:rFonts w:cs="Arial"/>
                      <w:color w:val="000000" w:themeColor="text1"/>
                      <w:sz w:val="16"/>
                      <w:szCs w:val="16"/>
                    </w:rPr>
                    <w:t>Año inicial. La mitad del año refiere al 30 de junio.</w:t>
                  </w:r>
                </w:p>
              </w:tc>
            </w:tr>
            <w:tr w:rsidR="00BD274C" w:rsidRPr="00BD274C" w14:paraId="145B150D" w14:textId="77777777" w:rsidTr="005B6B21">
              <w:trPr>
                <w:trHeight w:val="130"/>
              </w:trPr>
              <w:tc>
                <w:tcPr>
                  <w:tcW w:w="700" w:type="pct"/>
                  <w:tcMar>
                    <w:left w:w="57" w:type="dxa"/>
                    <w:right w:w="170" w:type="dxa"/>
                  </w:tcMar>
                  <w:vAlign w:val="center"/>
                </w:tcPr>
                <w:p w14:paraId="6232092B" w14:textId="77777777" w:rsidR="005B6B21" w:rsidRPr="00BD274C" w:rsidRDefault="003E6571" w:rsidP="006D4499">
                  <w:pPr>
                    <w:ind w:right="-70"/>
                    <w:jc w:val="center"/>
                    <w:rPr>
                      <w:rFonts w:cs="Arial"/>
                      <w:i/>
                      <w:color w:val="000000" w:themeColor="text1"/>
                      <w:sz w:val="16"/>
                      <w:szCs w:val="16"/>
                    </w:rPr>
                  </w:pPr>
                  <w:r w:rsidRPr="00BD274C">
                    <w:rPr>
                      <w:rFonts w:cs="Arial"/>
                      <w:color w:val="000000" w:themeColor="text1"/>
                      <w:sz w:val="16"/>
                      <w:szCs w:val="16"/>
                    </w:rPr>
                    <w:sym w:font="Symbol" w:char="F044"/>
                  </w:r>
                  <w:r w:rsidRPr="00BD274C">
                    <w:rPr>
                      <w:rFonts w:cs="Arial"/>
                      <w:i/>
                      <w:color w:val="000000" w:themeColor="text1"/>
                      <w:sz w:val="16"/>
                      <w:szCs w:val="16"/>
                    </w:rPr>
                    <w:t>t</w:t>
                  </w:r>
                </w:p>
              </w:tc>
              <w:tc>
                <w:tcPr>
                  <w:tcW w:w="4300" w:type="pct"/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3496B2EE" w14:textId="06922592" w:rsidR="005B6B21" w:rsidRPr="00BD274C" w:rsidRDefault="005B6B21" w:rsidP="005B6B21">
                  <w:pPr>
                    <w:ind w:right="-70"/>
                    <w:rPr>
                      <w:rFonts w:cs="Arial"/>
                      <w:color w:val="000000" w:themeColor="text1"/>
                      <w:sz w:val="16"/>
                      <w:szCs w:val="16"/>
                    </w:rPr>
                  </w:pPr>
                  <w:r w:rsidRPr="00BD274C">
                    <w:rPr>
                      <w:rFonts w:cs="Arial"/>
                      <w:color w:val="000000" w:themeColor="text1"/>
                      <w:sz w:val="16"/>
                      <w:szCs w:val="16"/>
                    </w:rPr>
                    <w:t>Intervalo de tiempo transcurrido</w:t>
                  </w:r>
                  <w:r w:rsidR="005E28C6" w:rsidRPr="00BD274C">
                    <w:rPr>
                      <w:rFonts w:cs="Arial"/>
                      <w:color w:val="000000" w:themeColor="text1"/>
                      <w:sz w:val="16"/>
                      <w:szCs w:val="16"/>
                    </w:rPr>
                    <w:t>.</w:t>
                  </w:r>
                  <w:r w:rsidRPr="00BD274C">
                    <w:rPr>
                      <w:rFonts w:cs="Arial"/>
                      <w:color w:val="000000" w:themeColor="text1"/>
                      <w:sz w:val="16"/>
                      <w:szCs w:val="16"/>
                      <w:vertAlign w:val="superscript"/>
                    </w:rPr>
                    <w:t>2</w:t>
                  </w:r>
                </w:p>
              </w:tc>
            </w:tr>
            <w:tr w:rsidR="00BD274C" w:rsidRPr="00BD274C" w14:paraId="6622B6C5" w14:textId="77777777" w:rsidTr="000B186A">
              <w:trPr>
                <w:trHeight w:val="88"/>
              </w:trPr>
              <w:tc>
                <w:tcPr>
                  <w:tcW w:w="700" w:type="pct"/>
                  <w:tcMar>
                    <w:left w:w="57" w:type="dxa"/>
                    <w:right w:w="170" w:type="dxa"/>
                  </w:tcMar>
                  <w:vAlign w:val="center"/>
                </w:tcPr>
                <w:p w14:paraId="05435D3B" w14:textId="77777777" w:rsidR="005B6B21" w:rsidRPr="00BD274C" w:rsidRDefault="000B186A" w:rsidP="006D4499">
                  <w:pPr>
                    <w:ind w:right="-70"/>
                    <w:jc w:val="center"/>
                    <w:rPr>
                      <w:rFonts w:cs="Arial"/>
                      <w:i/>
                      <w:color w:val="000000" w:themeColor="text1"/>
                      <w:sz w:val="16"/>
                      <w:szCs w:val="16"/>
                    </w:rPr>
                  </w:pPr>
                  <w:r w:rsidRPr="00BD274C">
                    <w:rPr>
                      <w:rFonts w:cs="Arial"/>
                      <w:i/>
                      <w:color w:val="000000" w:themeColor="text1"/>
                      <w:sz w:val="16"/>
                      <w:szCs w:val="16"/>
                    </w:rPr>
                    <w:t>ge</w:t>
                  </w:r>
                </w:p>
              </w:tc>
              <w:tc>
                <w:tcPr>
                  <w:tcW w:w="4300" w:type="pct"/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045C5B2E" w14:textId="38235BC6" w:rsidR="005B6B21" w:rsidRPr="00BD274C" w:rsidRDefault="005B6B21" w:rsidP="00F731E4">
                  <w:pPr>
                    <w:ind w:left="-6" w:firstLine="6"/>
                    <w:rPr>
                      <w:rFonts w:cs="Arial"/>
                      <w:color w:val="000000" w:themeColor="text1"/>
                      <w:sz w:val="16"/>
                      <w:szCs w:val="16"/>
                    </w:rPr>
                  </w:pPr>
                  <w:r w:rsidRPr="00BD274C">
                    <w:rPr>
                      <w:rFonts w:cs="Arial"/>
                      <w:color w:val="000000" w:themeColor="text1"/>
                      <w:sz w:val="16"/>
                      <w:szCs w:val="16"/>
                    </w:rPr>
                    <w:t>Grupo de edad escolar:</w:t>
                  </w:r>
                  <w:r w:rsidR="005455DB" w:rsidRPr="00BD274C">
                    <w:rPr>
                      <w:rFonts w:cs="Arial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r w:rsidR="00F731E4" w:rsidRPr="00BD274C">
                    <w:rPr>
                      <w:rFonts w:cs="Arial"/>
                      <w:color w:val="000000" w:themeColor="text1"/>
                      <w:sz w:val="16"/>
                      <w:szCs w:val="16"/>
                    </w:rPr>
                    <w:t>0 a 2 (inicial),</w:t>
                  </w:r>
                  <w:r w:rsidR="00F731E4" w:rsidRPr="00BD274C">
                    <w:rPr>
                      <w:rFonts w:cs="Arial"/>
                      <w:color w:val="000000" w:themeColor="text1"/>
                      <w:sz w:val="16"/>
                      <w:szCs w:val="16"/>
                      <w:vertAlign w:val="superscript"/>
                    </w:rPr>
                    <w:t xml:space="preserve">3 </w:t>
                  </w:r>
                  <w:r w:rsidR="00AA3545" w:rsidRPr="00BD274C">
                    <w:rPr>
                      <w:rFonts w:cs="Arial"/>
                      <w:color w:val="000000" w:themeColor="text1"/>
                      <w:sz w:val="16"/>
                      <w:szCs w:val="16"/>
                    </w:rPr>
                    <w:t>3 a 5 (preescolar), 6 a</w:t>
                  </w:r>
                  <w:r w:rsidRPr="00BD274C">
                    <w:rPr>
                      <w:rFonts w:cs="Arial"/>
                      <w:color w:val="000000" w:themeColor="text1"/>
                      <w:sz w:val="16"/>
                      <w:szCs w:val="16"/>
                    </w:rPr>
                    <w:t xml:space="preserve"> 11 </w:t>
                  </w:r>
                  <w:r w:rsidR="00AA3545" w:rsidRPr="00BD274C">
                    <w:rPr>
                      <w:rFonts w:cs="Arial"/>
                      <w:color w:val="000000" w:themeColor="text1"/>
                      <w:sz w:val="16"/>
                      <w:szCs w:val="16"/>
                    </w:rPr>
                    <w:t>(primaria), 12 a</w:t>
                  </w:r>
                  <w:r w:rsidRPr="00BD274C">
                    <w:rPr>
                      <w:rFonts w:cs="Arial"/>
                      <w:color w:val="000000" w:themeColor="text1"/>
                      <w:sz w:val="16"/>
                      <w:szCs w:val="16"/>
                    </w:rPr>
                    <w:t xml:space="preserve"> 14 (secundaria</w:t>
                  </w:r>
                  <w:r w:rsidR="005263D7" w:rsidRPr="00BD274C">
                    <w:rPr>
                      <w:rFonts w:cs="Arial"/>
                      <w:color w:val="000000" w:themeColor="text1"/>
                      <w:sz w:val="16"/>
                      <w:szCs w:val="16"/>
                    </w:rPr>
                    <w:t>)</w:t>
                  </w:r>
                  <w:r w:rsidR="00F731E4" w:rsidRPr="00BD274C">
                    <w:rPr>
                      <w:rFonts w:cs="Arial"/>
                      <w:color w:val="000000" w:themeColor="text1"/>
                      <w:sz w:val="16"/>
                      <w:szCs w:val="16"/>
                    </w:rPr>
                    <w:t xml:space="preserve"> y </w:t>
                  </w:r>
                  <w:r w:rsidR="00AA3545" w:rsidRPr="00BD274C">
                    <w:rPr>
                      <w:rFonts w:cs="Arial"/>
                      <w:color w:val="000000" w:themeColor="text1"/>
                      <w:sz w:val="16"/>
                      <w:szCs w:val="16"/>
                    </w:rPr>
                    <w:t xml:space="preserve">15 a </w:t>
                  </w:r>
                  <w:r w:rsidR="00E67BAE" w:rsidRPr="00BD274C">
                    <w:rPr>
                      <w:rFonts w:cs="Arial"/>
                      <w:color w:val="000000" w:themeColor="text1"/>
                      <w:sz w:val="16"/>
                      <w:szCs w:val="16"/>
                    </w:rPr>
                    <w:t>17 (media superior)</w:t>
                  </w:r>
                  <w:r w:rsidR="005E28C6" w:rsidRPr="00BD274C">
                    <w:rPr>
                      <w:rFonts w:cs="Arial"/>
                      <w:color w:val="000000" w:themeColor="text1"/>
                      <w:sz w:val="16"/>
                      <w:szCs w:val="16"/>
                    </w:rPr>
                    <w:t>.</w:t>
                  </w:r>
                </w:p>
              </w:tc>
            </w:tr>
            <w:tr w:rsidR="00BD274C" w:rsidRPr="00BD274C" w14:paraId="220929B7" w14:textId="77777777" w:rsidTr="000B186A">
              <w:trPr>
                <w:trHeight w:val="53"/>
              </w:trPr>
              <w:tc>
                <w:tcPr>
                  <w:tcW w:w="700" w:type="pct"/>
                  <w:tcMar>
                    <w:left w:w="57" w:type="dxa"/>
                    <w:right w:w="170" w:type="dxa"/>
                  </w:tcMar>
                  <w:vAlign w:val="center"/>
                </w:tcPr>
                <w:p w14:paraId="5CCA9335" w14:textId="77777777" w:rsidR="005B6B21" w:rsidRPr="00BD274C" w:rsidRDefault="000B186A" w:rsidP="006D4499">
                  <w:pPr>
                    <w:ind w:right="-70"/>
                    <w:jc w:val="center"/>
                    <w:rPr>
                      <w:rFonts w:cs="Arial"/>
                      <w:i/>
                      <w:color w:val="000000" w:themeColor="text1"/>
                      <w:sz w:val="16"/>
                      <w:szCs w:val="16"/>
                    </w:rPr>
                  </w:pPr>
                  <w:proofErr w:type="spellStart"/>
                  <w:r w:rsidRPr="00BD274C">
                    <w:rPr>
                      <w:rFonts w:cs="Arial"/>
                      <w:i/>
                      <w:color w:val="000000" w:themeColor="text1"/>
                      <w:sz w:val="16"/>
                      <w:szCs w:val="16"/>
                    </w:rPr>
                    <w:t>ln</w:t>
                  </w:r>
                  <w:proofErr w:type="spellEnd"/>
                </w:p>
              </w:tc>
              <w:tc>
                <w:tcPr>
                  <w:tcW w:w="4300" w:type="pct"/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627E4AD1" w14:textId="77777777" w:rsidR="005B6B21" w:rsidRPr="00BD274C" w:rsidRDefault="005B6B21" w:rsidP="005B6B21">
                  <w:pPr>
                    <w:ind w:right="-70"/>
                    <w:rPr>
                      <w:rFonts w:cs="Arial"/>
                      <w:color w:val="000000" w:themeColor="text1"/>
                      <w:sz w:val="16"/>
                      <w:szCs w:val="16"/>
                    </w:rPr>
                  </w:pPr>
                  <w:r w:rsidRPr="00BD274C">
                    <w:rPr>
                      <w:rFonts w:cs="Arial"/>
                      <w:color w:val="000000" w:themeColor="text1"/>
                      <w:sz w:val="16"/>
                      <w:szCs w:val="16"/>
                    </w:rPr>
                    <w:t>Logaritmo natural.</w:t>
                  </w:r>
                </w:p>
              </w:tc>
            </w:tr>
            <w:tr w:rsidR="00BD274C" w:rsidRPr="00BD274C" w14:paraId="69D87C0F" w14:textId="77777777" w:rsidTr="005B6B21">
              <w:trPr>
                <w:trHeight w:val="66"/>
              </w:trPr>
              <w:tc>
                <w:tcPr>
                  <w:tcW w:w="700" w:type="pct"/>
                  <w:tcMar>
                    <w:left w:w="57" w:type="dxa"/>
                    <w:right w:w="170" w:type="dxa"/>
                  </w:tcMar>
                  <w:vAlign w:val="center"/>
                </w:tcPr>
                <w:p w14:paraId="549219A3" w14:textId="77777777" w:rsidR="005B6B21" w:rsidRPr="00BD274C" w:rsidRDefault="009B15A1" w:rsidP="006D4499">
                  <w:pPr>
                    <w:ind w:right="-70"/>
                    <w:jc w:val="center"/>
                    <w:rPr>
                      <w:rFonts w:cs="Arial"/>
                      <w:i/>
                      <w:color w:val="000000" w:themeColor="text1"/>
                      <w:sz w:val="20"/>
                      <w:szCs w:val="20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 w:cs="Arial"/>
                              <w:i/>
                              <w:color w:val="000000" w:themeColor="text1"/>
                              <w:sz w:val="20"/>
                              <w:szCs w:val="20"/>
                            </w:rPr>
                          </m:ctrlPr>
                        </m:sSubSupPr>
                        <m:e>
                          <m:r>
                            <m:rPr>
                              <m:nor/>
                            </m:rPr>
                            <w:rPr>
                              <w:rFonts w:cs="Arial"/>
                              <w:i/>
                              <w:color w:val="000000" w:themeColor="text1"/>
                              <w:sz w:val="20"/>
                              <w:szCs w:val="20"/>
                            </w:rPr>
                            <m:t>P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cs="Arial"/>
                              <w:i/>
                              <w:color w:val="000000" w:themeColor="text1"/>
                              <w:sz w:val="20"/>
                              <w:szCs w:val="20"/>
                            </w:rPr>
                            <m:t>ge</m:t>
                          </m:r>
                        </m:sub>
                        <m:sup>
                          <m:r>
                            <m:rPr>
                              <m:nor/>
                            </m:rPr>
                            <w:rPr>
                              <w:rFonts w:cs="Arial"/>
                              <w:i/>
                              <w:color w:val="000000" w:themeColor="text1"/>
                              <w:sz w:val="20"/>
                              <w:szCs w:val="20"/>
                            </w:rPr>
                            <m:t>t+∆t</m:t>
                          </m:r>
                        </m:sup>
                      </m:sSubSup>
                    </m:oMath>
                  </m:oMathPara>
                </w:p>
              </w:tc>
              <w:tc>
                <w:tcPr>
                  <w:tcW w:w="4300" w:type="pct"/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03EE58FC" w14:textId="77777777" w:rsidR="005B6B21" w:rsidRPr="00BD274C" w:rsidRDefault="005B6B21" w:rsidP="00177E08">
                  <w:pPr>
                    <w:ind w:right="-70"/>
                    <w:rPr>
                      <w:rFonts w:cs="Arial"/>
                      <w:i/>
                      <w:color w:val="000000" w:themeColor="text1"/>
                      <w:sz w:val="16"/>
                      <w:szCs w:val="16"/>
                    </w:rPr>
                  </w:pPr>
                  <w:r w:rsidRPr="00BD274C">
                    <w:rPr>
                      <w:rFonts w:cs="Arial"/>
                      <w:color w:val="000000" w:themeColor="text1"/>
                      <w:sz w:val="16"/>
                      <w:szCs w:val="16"/>
                    </w:rPr>
                    <w:t xml:space="preserve">Población en el grupo de edad </w:t>
                  </w:r>
                  <w:r w:rsidRPr="00BD274C">
                    <w:rPr>
                      <w:rFonts w:cs="Arial"/>
                      <w:i/>
                      <w:color w:val="000000" w:themeColor="text1"/>
                      <w:sz w:val="16"/>
                      <w:szCs w:val="16"/>
                    </w:rPr>
                    <w:t>ge</w:t>
                  </w:r>
                  <w:r w:rsidRPr="00BD274C">
                    <w:rPr>
                      <w:rFonts w:cs="Arial"/>
                      <w:color w:val="000000" w:themeColor="text1"/>
                      <w:sz w:val="16"/>
                      <w:szCs w:val="16"/>
                    </w:rPr>
                    <w:t xml:space="preserve"> estimada a mitad </w:t>
                  </w:r>
                  <w:r w:rsidR="005E28C6" w:rsidRPr="00BD274C">
                    <w:rPr>
                      <w:rFonts w:cs="Arial"/>
                      <w:color w:val="000000" w:themeColor="text1"/>
                      <w:sz w:val="16"/>
                      <w:szCs w:val="16"/>
                    </w:rPr>
                    <w:t>d</w:t>
                  </w:r>
                  <w:r w:rsidRPr="00BD274C">
                    <w:rPr>
                      <w:rFonts w:cs="Arial"/>
                      <w:color w:val="000000" w:themeColor="text1"/>
                      <w:sz w:val="16"/>
                      <w:szCs w:val="16"/>
                    </w:rPr>
                    <w:t xml:space="preserve">el año </w:t>
                  </w:r>
                  <w:r w:rsidRPr="00BD274C">
                    <w:rPr>
                      <w:rFonts w:cs="Arial"/>
                      <w:i/>
                      <w:color w:val="000000" w:themeColor="text1"/>
                      <w:sz w:val="16"/>
                      <w:szCs w:val="16"/>
                    </w:rPr>
                    <w:t>t+∆</w:t>
                  </w:r>
                  <w:r w:rsidRPr="00BD274C">
                    <w:rPr>
                      <w:rFonts w:cs="Tahoma"/>
                      <w:i/>
                      <w:color w:val="000000" w:themeColor="text1"/>
                      <w:sz w:val="16"/>
                      <w:szCs w:val="16"/>
                    </w:rPr>
                    <w:t>t</w:t>
                  </w:r>
                  <w:r w:rsidRPr="00BD274C">
                    <w:rPr>
                      <w:rFonts w:cs="Arial"/>
                      <w:i/>
                      <w:color w:val="000000" w:themeColor="text1"/>
                      <w:sz w:val="16"/>
                      <w:szCs w:val="16"/>
                    </w:rPr>
                    <w:t>.</w:t>
                  </w:r>
                </w:p>
              </w:tc>
            </w:tr>
            <w:tr w:rsidR="00BD274C" w:rsidRPr="00BD274C" w14:paraId="05F49A01" w14:textId="77777777" w:rsidTr="005B6B21">
              <w:trPr>
                <w:trHeight w:val="66"/>
              </w:trPr>
              <w:tc>
                <w:tcPr>
                  <w:tcW w:w="700" w:type="pct"/>
                  <w:tcMar>
                    <w:left w:w="57" w:type="dxa"/>
                    <w:right w:w="170" w:type="dxa"/>
                  </w:tcMar>
                  <w:vAlign w:val="center"/>
                </w:tcPr>
                <w:p w14:paraId="311C345A" w14:textId="77777777" w:rsidR="005B6B21" w:rsidRPr="00BD274C" w:rsidRDefault="009B15A1" w:rsidP="006D4499">
                  <w:pPr>
                    <w:ind w:right="-70"/>
                    <w:jc w:val="center"/>
                    <w:rPr>
                      <w:rFonts w:cs="Arial"/>
                      <w:i/>
                      <w:color w:val="000000" w:themeColor="text1"/>
                      <w:sz w:val="20"/>
                      <w:szCs w:val="20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 w:cs="Arial"/>
                              <w:i/>
                              <w:color w:val="000000" w:themeColor="text1"/>
                              <w:sz w:val="20"/>
                              <w:szCs w:val="20"/>
                            </w:rPr>
                          </m:ctrlPr>
                        </m:sSubSupPr>
                        <m:e>
                          <m:r>
                            <m:rPr>
                              <m:nor/>
                            </m:rPr>
                            <w:rPr>
                              <w:rFonts w:cs="Arial"/>
                              <w:i/>
                              <w:color w:val="000000" w:themeColor="text1"/>
                              <w:sz w:val="20"/>
                              <w:szCs w:val="20"/>
                            </w:rPr>
                            <m:t>P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cs="Arial"/>
                              <w:i/>
                              <w:color w:val="000000" w:themeColor="text1"/>
                              <w:sz w:val="20"/>
                              <w:szCs w:val="20"/>
                            </w:rPr>
                            <m:t>ge</m:t>
                          </m:r>
                        </m:sub>
                        <m:sup>
                          <m:r>
                            <m:rPr>
                              <m:nor/>
                            </m:rPr>
                            <w:rPr>
                              <w:rFonts w:cs="Arial"/>
                              <w:i/>
                              <w:color w:val="000000" w:themeColor="text1"/>
                              <w:sz w:val="20"/>
                              <w:szCs w:val="20"/>
                            </w:rPr>
                            <m:t>t</m:t>
                          </m:r>
                        </m:sup>
                      </m:sSubSup>
                    </m:oMath>
                  </m:oMathPara>
                </w:p>
              </w:tc>
              <w:tc>
                <w:tcPr>
                  <w:tcW w:w="4300" w:type="pct"/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22111F90" w14:textId="77777777" w:rsidR="005B6B21" w:rsidRPr="00BD274C" w:rsidRDefault="005B6B21" w:rsidP="005B6B21">
                  <w:pPr>
                    <w:ind w:right="-70"/>
                    <w:rPr>
                      <w:rFonts w:cs="Arial"/>
                      <w:color w:val="000000" w:themeColor="text1"/>
                      <w:sz w:val="16"/>
                      <w:szCs w:val="16"/>
                    </w:rPr>
                  </w:pPr>
                  <w:r w:rsidRPr="00BD274C">
                    <w:rPr>
                      <w:rFonts w:cs="Arial"/>
                      <w:color w:val="000000" w:themeColor="text1"/>
                      <w:sz w:val="16"/>
                      <w:szCs w:val="16"/>
                    </w:rPr>
                    <w:t xml:space="preserve">Población en el grupo de edad </w:t>
                  </w:r>
                  <w:r w:rsidRPr="00BD274C">
                    <w:rPr>
                      <w:rFonts w:cs="Arial"/>
                      <w:i/>
                      <w:color w:val="000000" w:themeColor="text1"/>
                      <w:sz w:val="16"/>
                      <w:szCs w:val="16"/>
                    </w:rPr>
                    <w:t>ge</w:t>
                  </w:r>
                  <w:r w:rsidRPr="00BD274C">
                    <w:rPr>
                      <w:rFonts w:cs="Arial"/>
                      <w:color w:val="000000" w:themeColor="text1"/>
                      <w:sz w:val="16"/>
                      <w:szCs w:val="16"/>
                    </w:rPr>
                    <w:t xml:space="preserve"> estimada a mitad </w:t>
                  </w:r>
                  <w:r w:rsidR="005E28C6" w:rsidRPr="00BD274C">
                    <w:rPr>
                      <w:rFonts w:cs="Arial"/>
                      <w:color w:val="000000" w:themeColor="text1"/>
                      <w:sz w:val="16"/>
                      <w:szCs w:val="16"/>
                    </w:rPr>
                    <w:t>d</w:t>
                  </w:r>
                  <w:r w:rsidRPr="00BD274C">
                    <w:rPr>
                      <w:rFonts w:cs="Arial"/>
                      <w:color w:val="000000" w:themeColor="text1"/>
                      <w:sz w:val="16"/>
                      <w:szCs w:val="16"/>
                    </w:rPr>
                    <w:t xml:space="preserve">el año </w:t>
                  </w:r>
                  <w:r w:rsidRPr="00BD274C">
                    <w:rPr>
                      <w:rFonts w:cs="Arial"/>
                      <w:i/>
                      <w:color w:val="000000" w:themeColor="text1"/>
                      <w:sz w:val="16"/>
                      <w:szCs w:val="16"/>
                    </w:rPr>
                    <w:t>t</w:t>
                  </w:r>
                  <w:r w:rsidR="00177E08" w:rsidRPr="00BD274C">
                    <w:rPr>
                      <w:rFonts w:cs="Tahoma"/>
                      <w:i/>
                      <w:color w:val="000000" w:themeColor="text1"/>
                      <w:sz w:val="16"/>
                      <w:szCs w:val="16"/>
                    </w:rPr>
                    <w:t>.</w:t>
                  </w:r>
                </w:p>
              </w:tc>
            </w:tr>
          </w:tbl>
          <w:p w14:paraId="13C4BECE" w14:textId="77777777" w:rsidR="005B6B21" w:rsidRPr="00A87A28" w:rsidRDefault="005B6B21" w:rsidP="005B6B21">
            <w:pPr>
              <w:ind w:right="-70"/>
              <w:rPr>
                <w:rFonts w:cs="Arial"/>
                <w:b/>
                <w:sz w:val="16"/>
                <w:szCs w:val="16"/>
              </w:rPr>
            </w:pPr>
          </w:p>
        </w:tc>
      </w:tr>
      <w:tr w:rsidR="005B6B21" w:rsidRPr="00A87A28" w14:paraId="509BAB98" w14:textId="77777777" w:rsidTr="005B6B21">
        <w:trPr>
          <w:trHeight w:val="217"/>
          <w:jc w:val="center"/>
        </w:trPr>
        <w:tc>
          <w:tcPr>
            <w:tcW w:w="9854" w:type="dxa"/>
            <w:tcBorders>
              <w:top w:val="nil"/>
              <w:bottom w:val="single" w:sz="4" w:space="0" w:color="auto"/>
            </w:tcBorders>
          </w:tcPr>
          <w:p w14:paraId="7A635AB4" w14:textId="77777777" w:rsidR="005B6B21" w:rsidRPr="00A87A28" w:rsidRDefault="005B6B21" w:rsidP="005B6B21">
            <w:pPr>
              <w:ind w:right="-70"/>
              <w:rPr>
                <w:rFonts w:cs="Arial"/>
                <w:sz w:val="16"/>
                <w:szCs w:val="16"/>
              </w:rPr>
            </w:pPr>
          </w:p>
        </w:tc>
      </w:tr>
      <w:tr w:rsidR="005B6B21" w:rsidRPr="00A87A28" w14:paraId="03D4BF9D" w14:textId="77777777" w:rsidTr="009061A0">
        <w:trPr>
          <w:trHeight w:val="1189"/>
          <w:jc w:val="center"/>
        </w:trPr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12B7F6" w14:textId="77777777" w:rsidR="005B6B21" w:rsidRDefault="00C13C83" w:rsidP="009061A0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Interpretación</w:t>
            </w:r>
          </w:p>
          <w:p w14:paraId="0C285F17" w14:textId="4883E527" w:rsidR="005B6B21" w:rsidRPr="00A87A28" w:rsidRDefault="005B6B21" w:rsidP="00A00B1C">
            <w:pPr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</w:t>
            </w:r>
            <w:r w:rsidRPr="00F14498">
              <w:rPr>
                <w:rFonts w:cs="Arial"/>
                <w:sz w:val="16"/>
                <w:szCs w:val="16"/>
              </w:rPr>
              <w:t xml:space="preserve">as tasas de crecimiento de las poblaciones de interés para </w:t>
            </w:r>
            <w:r w:rsidR="003B1349">
              <w:rPr>
                <w:rFonts w:cs="Arial"/>
                <w:sz w:val="16"/>
                <w:szCs w:val="16"/>
              </w:rPr>
              <w:t>los</w:t>
            </w:r>
            <w:r w:rsidRPr="00F14498">
              <w:rPr>
                <w:rFonts w:cs="Arial"/>
                <w:sz w:val="16"/>
                <w:szCs w:val="16"/>
              </w:rPr>
              <w:t xml:space="preserve"> sistema</w:t>
            </w:r>
            <w:r w:rsidR="003B1349">
              <w:rPr>
                <w:rFonts w:cs="Arial"/>
                <w:sz w:val="16"/>
                <w:szCs w:val="16"/>
              </w:rPr>
              <w:t>s</w:t>
            </w:r>
            <w:r w:rsidRPr="00F14498">
              <w:rPr>
                <w:rFonts w:cs="Arial"/>
                <w:sz w:val="16"/>
                <w:szCs w:val="16"/>
              </w:rPr>
              <w:t xml:space="preserve"> de educación básica</w:t>
            </w:r>
            <w:r w:rsidR="008B47C4">
              <w:rPr>
                <w:rFonts w:cs="Arial"/>
                <w:sz w:val="16"/>
                <w:szCs w:val="16"/>
              </w:rPr>
              <w:t xml:space="preserve"> y media superior</w:t>
            </w:r>
            <w:r w:rsidRPr="00F14498">
              <w:rPr>
                <w:rFonts w:cs="Arial"/>
                <w:sz w:val="16"/>
                <w:szCs w:val="16"/>
              </w:rPr>
              <w:t xml:space="preserve"> dimensionan el sentido y la intensidad de los cambios experimentados durante un año en el tamaño de las poblaciones señaladas</w:t>
            </w:r>
            <w:r w:rsidR="00C13C83">
              <w:rPr>
                <w:rFonts w:cs="Arial"/>
                <w:sz w:val="16"/>
                <w:szCs w:val="16"/>
              </w:rPr>
              <w:t>,</w:t>
            </w:r>
            <w:r w:rsidRPr="00F14498">
              <w:rPr>
                <w:rFonts w:cs="Arial"/>
                <w:sz w:val="16"/>
                <w:szCs w:val="16"/>
              </w:rPr>
              <w:t xml:space="preserve"> es decir, cuantifican la variación anual de su tamaño. </w:t>
            </w:r>
            <w:r w:rsidR="008B47C4">
              <w:rPr>
                <w:rFonts w:cs="Arial"/>
                <w:sz w:val="16"/>
                <w:szCs w:val="16"/>
              </w:rPr>
              <w:t>É</w:t>
            </w:r>
            <w:r w:rsidR="00C13C83">
              <w:rPr>
                <w:rFonts w:cs="Arial"/>
                <w:sz w:val="16"/>
                <w:szCs w:val="16"/>
              </w:rPr>
              <w:t xml:space="preserve">stas </w:t>
            </w:r>
            <w:r w:rsidRPr="00F14498">
              <w:rPr>
                <w:rFonts w:cs="Arial"/>
                <w:sz w:val="16"/>
                <w:szCs w:val="16"/>
              </w:rPr>
              <w:t>permite</w:t>
            </w:r>
            <w:r w:rsidR="00C2374B">
              <w:rPr>
                <w:rFonts w:cs="Arial"/>
                <w:sz w:val="16"/>
                <w:szCs w:val="16"/>
              </w:rPr>
              <w:t>n</w:t>
            </w:r>
            <w:r w:rsidRPr="00F14498">
              <w:rPr>
                <w:rFonts w:cs="Arial"/>
                <w:sz w:val="16"/>
                <w:szCs w:val="16"/>
              </w:rPr>
              <w:t xml:space="preserve"> hacer prospecciones sobre los esfuerzos que los sistemas educativos </w:t>
            </w:r>
            <w:r w:rsidR="005F52B1">
              <w:rPr>
                <w:rFonts w:cs="Arial"/>
                <w:sz w:val="16"/>
                <w:szCs w:val="16"/>
              </w:rPr>
              <w:t>(</w:t>
            </w:r>
            <w:r w:rsidR="0064052B">
              <w:rPr>
                <w:rFonts w:cs="Arial"/>
                <w:sz w:val="16"/>
                <w:szCs w:val="16"/>
              </w:rPr>
              <w:t>nacional</w:t>
            </w:r>
            <w:r w:rsidR="00FC4807" w:rsidRPr="00F14498">
              <w:rPr>
                <w:rFonts w:cs="Arial"/>
                <w:sz w:val="16"/>
                <w:szCs w:val="16"/>
              </w:rPr>
              <w:t xml:space="preserve"> </w:t>
            </w:r>
            <w:r w:rsidR="00FC4807">
              <w:rPr>
                <w:rFonts w:cs="Arial"/>
                <w:sz w:val="16"/>
                <w:szCs w:val="16"/>
              </w:rPr>
              <w:t xml:space="preserve">y </w:t>
            </w:r>
            <w:r w:rsidRPr="00F14498">
              <w:rPr>
                <w:rFonts w:cs="Arial"/>
                <w:sz w:val="16"/>
                <w:szCs w:val="16"/>
              </w:rPr>
              <w:t>estatales</w:t>
            </w:r>
            <w:r w:rsidR="005F52B1">
              <w:rPr>
                <w:rFonts w:cs="Arial"/>
                <w:sz w:val="16"/>
                <w:szCs w:val="16"/>
              </w:rPr>
              <w:t>)</w:t>
            </w:r>
            <w:r w:rsidRPr="00F14498">
              <w:rPr>
                <w:rFonts w:cs="Arial"/>
                <w:sz w:val="16"/>
                <w:szCs w:val="16"/>
              </w:rPr>
              <w:t xml:space="preserve"> necesitarán desplegar o redireccionar en el futuro me</w:t>
            </w:r>
            <w:r w:rsidRPr="005F52B1">
              <w:rPr>
                <w:rFonts w:cs="Arial"/>
                <w:sz w:val="16"/>
                <w:szCs w:val="16"/>
              </w:rPr>
              <w:t>dia</w:t>
            </w:r>
            <w:r w:rsidRPr="00F14498">
              <w:rPr>
                <w:rFonts w:cs="Arial"/>
                <w:sz w:val="16"/>
                <w:szCs w:val="16"/>
              </w:rPr>
              <w:t>to. Tasas positivas señalan crecimiento; tasas negativas, decre</w:t>
            </w:r>
            <w:r w:rsidR="00DB376E">
              <w:rPr>
                <w:rFonts w:cs="Arial"/>
                <w:sz w:val="16"/>
                <w:szCs w:val="16"/>
              </w:rPr>
              <w:t>mento</w:t>
            </w:r>
            <w:r w:rsidRPr="00F14498">
              <w:rPr>
                <w:rFonts w:cs="Arial"/>
                <w:sz w:val="16"/>
                <w:szCs w:val="16"/>
              </w:rPr>
              <w:t>, y tasas cercanas a cero indican que el tamaño del grupo poblacional permanecerá prácticamente constante durante el periodo de análisis.</w:t>
            </w:r>
          </w:p>
        </w:tc>
      </w:tr>
      <w:tr w:rsidR="005B6B21" w:rsidRPr="00A87A28" w14:paraId="1B692D67" w14:textId="77777777" w:rsidTr="009061A0">
        <w:trPr>
          <w:trHeight w:val="901"/>
          <w:jc w:val="center"/>
        </w:trPr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C79DBD" w14:textId="77777777" w:rsidR="005B6B21" w:rsidRPr="00A87A28" w:rsidRDefault="00C13C83" w:rsidP="009061A0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Utilidad</w:t>
            </w:r>
          </w:p>
          <w:p w14:paraId="6BFB1BDF" w14:textId="06FAE33C" w:rsidR="005B6B21" w:rsidRPr="00A87A28" w:rsidRDefault="005B6B21" w:rsidP="00C622FB">
            <w:pPr>
              <w:jc w:val="both"/>
              <w:rPr>
                <w:rFonts w:cs="Arial"/>
                <w:sz w:val="16"/>
                <w:szCs w:val="16"/>
              </w:rPr>
            </w:pPr>
            <w:r w:rsidRPr="009A282A">
              <w:rPr>
                <w:rFonts w:cs="Arial"/>
                <w:sz w:val="16"/>
                <w:szCs w:val="16"/>
              </w:rPr>
              <w:t xml:space="preserve">Permite prever el comportamiento del </w:t>
            </w:r>
            <w:r w:rsidRPr="00A31598">
              <w:rPr>
                <w:rFonts w:cs="Arial"/>
                <w:sz w:val="16"/>
                <w:szCs w:val="16"/>
              </w:rPr>
              <w:t xml:space="preserve">volumen de población </w:t>
            </w:r>
            <w:r w:rsidR="00E6765A" w:rsidRPr="004505E3">
              <w:rPr>
                <w:rFonts w:cs="Arial"/>
                <w:sz w:val="16"/>
                <w:szCs w:val="16"/>
              </w:rPr>
              <w:t>en edad escolar</w:t>
            </w:r>
            <w:r w:rsidRPr="004505E3">
              <w:rPr>
                <w:rFonts w:cs="Arial"/>
                <w:sz w:val="16"/>
                <w:szCs w:val="16"/>
              </w:rPr>
              <w:t>,</w:t>
            </w:r>
            <w:r>
              <w:rPr>
                <w:rFonts w:cs="Arial"/>
                <w:sz w:val="16"/>
                <w:szCs w:val="16"/>
              </w:rPr>
              <w:t xml:space="preserve"> lo cual apoya la defini</w:t>
            </w:r>
            <w:r w:rsidRPr="009A282A">
              <w:rPr>
                <w:rFonts w:cs="Arial"/>
                <w:sz w:val="16"/>
                <w:szCs w:val="16"/>
              </w:rPr>
              <w:t xml:space="preserve">ción de medidas educativas prospectivas para atender a la población que requiere educación </w:t>
            </w:r>
            <w:r w:rsidR="00C31E48">
              <w:rPr>
                <w:rFonts w:cs="Arial"/>
                <w:sz w:val="16"/>
                <w:szCs w:val="16"/>
              </w:rPr>
              <w:t>básica</w:t>
            </w:r>
            <w:r w:rsidR="00CA68F3">
              <w:rPr>
                <w:rFonts w:cs="Arial"/>
                <w:sz w:val="16"/>
                <w:szCs w:val="16"/>
              </w:rPr>
              <w:t xml:space="preserve"> </w:t>
            </w:r>
            <w:r w:rsidR="003B1349">
              <w:rPr>
                <w:rFonts w:cs="Arial"/>
                <w:sz w:val="16"/>
                <w:szCs w:val="16"/>
              </w:rPr>
              <w:t>o</w:t>
            </w:r>
            <w:r w:rsidR="00A91689">
              <w:rPr>
                <w:rFonts w:cs="Arial"/>
                <w:sz w:val="16"/>
                <w:szCs w:val="16"/>
              </w:rPr>
              <w:t xml:space="preserve"> media superior</w:t>
            </w:r>
            <w:r w:rsidRPr="009A282A">
              <w:rPr>
                <w:rFonts w:cs="Arial"/>
                <w:sz w:val="16"/>
                <w:szCs w:val="16"/>
              </w:rPr>
              <w:t>.</w:t>
            </w:r>
          </w:p>
        </w:tc>
      </w:tr>
      <w:tr w:rsidR="005B6B21" w:rsidRPr="00A87A28" w14:paraId="044473C4" w14:textId="77777777" w:rsidTr="009061A0">
        <w:trPr>
          <w:trHeight w:val="1913"/>
          <w:jc w:val="center"/>
        </w:trPr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FF97C5" w14:textId="77777777" w:rsidR="005B6B21" w:rsidRPr="00BD274C" w:rsidRDefault="005B6B21" w:rsidP="009061A0">
            <w:pPr>
              <w:rPr>
                <w:rFonts w:cs="Arial"/>
                <w:b/>
                <w:sz w:val="16"/>
                <w:szCs w:val="16"/>
              </w:rPr>
            </w:pPr>
            <w:r w:rsidRPr="00BD274C">
              <w:rPr>
                <w:rFonts w:cs="Arial"/>
                <w:b/>
                <w:sz w:val="16"/>
                <w:szCs w:val="16"/>
              </w:rPr>
              <w:t>Desagregaci</w:t>
            </w:r>
            <w:r w:rsidR="00C13C83" w:rsidRPr="00BD274C">
              <w:rPr>
                <w:rFonts w:cs="Arial"/>
                <w:b/>
                <w:sz w:val="16"/>
                <w:szCs w:val="16"/>
              </w:rPr>
              <w:t>ón</w:t>
            </w:r>
          </w:p>
          <w:p w14:paraId="646E21C1" w14:textId="5A0C7C05" w:rsidR="00C13C83" w:rsidRPr="00BD274C" w:rsidRDefault="00C13C83" w:rsidP="009061A0">
            <w:pPr>
              <w:ind w:right="-70"/>
              <w:rPr>
                <w:rFonts w:cs="Arial"/>
                <w:sz w:val="16"/>
                <w:szCs w:val="16"/>
              </w:rPr>
            </w:pPr>
          </w:p>
          <w:p w14:paraId="74991A80" w14:textId="38E45E94" w:rsidR="00E62FDC" w:rsidRPr="00234C47" w:rsidRDefault="00DB376E" w:rsidP="00234C47">
            <w:pPr>
              <w:pStyle w:val="Prrafodelista"/>
              <w:numPr>
                <w:ilvl w:val="0"/>
                <w:numId w:val="1"/>
              </w:numPr>
              <w:ind w:left="227" w:hanging="227"/>
              <w:jc w:val="both"/>
              <w:rPr>
                <w:rFonts w:cs="Arial"/>
                <w:b/>
                <w:color w:val="404040" w:themeColor="text1" w:themeTint="BF"/>
                <w:sz w:val="16"/>
                <w:szCs w:val="16"/>
              </w:rPr>
            </w:pPr>
            <w:r w:rsidRPr="00234C47">
              <w:rPr>
                <w:rFonts w:cs="Arial"/>
                <w:b/>
                <w:color w:val="404040" w:themeColor="text1" w:themeTint="BF"/>
                <w:sz w:val="16"/>
                <w:szCs w:val="16"/>
              </w:rPr>
              <w:t>M</w:t>
            </w:r>
            <w:r w:rsidR="00E62FDC" w:rsidRPr="00234C47">
              <w:rPr>
                <w:rFonts w:cs="Arial"/>
                <w:b/>
                <w:color w:val="404040" w:themeColor="text1" w:themeTint="BF"/>
                <w:sz w:val="16"/>
                <w:szCs w:val="16"/>
              </w:rPr>
              <w:t>áximo nivel de desagregación</w:t>
            </w:r>
            <w:r w:rsidRPr="00234C47">
              <w:rPr>
                <w:rFonts w:cs="Arial"/>
                <w:b/>
                <w:color w:val="404040" w:themeColor="text1" w:themeTint="BF"/>
                <w:sz w:val="16"/>
                <w:szCs w:val="16"/>
              </w:rPr>
              <w:t xml:space="preserve">: </w:t>
            </w:r>
            <w:r w:rsidR="00D91C21" w:rsidRPr="00234C47">
              <w:rPr>
                <w:rFonts w:cs="Arial"/>
                <w:sz w:val="16"/>
                <w:szCs w:val="16"/>
              </w:rPr>
              <w:t>entidad federativa</w:t>
            </w:r>
            <w:r w:rsidR="00231FEB" w:rsidRPr="00234C47">
              <w:rPr>
                <w:rFonts w:cs="Arial"/>
                <w:sz w:val="16"/>
                <w:szCs w:val="16"/>
              </w:rPr>
              <w:t>.</w:t>
            </w:r>
          </w:p>
          <w:p w14:paraId="309A8CEC" w14:textId="77777777" w:rsidR="00973C42" w:rsidRPr="00234C47" w:rsidRDefault="00973C42" w:rsidP="00234C47">
            <w:pPr>
              <w:jc w:val="both"/>
              <w:rPr>
                <w:rFonts w:cs="Arial"/>
                <w:b/>
                <w:color w:val="404040" w:themeColor="text1" w:themeTint="BF"/>
                <w:sz w:val="16"/>
                <w:szCs w:val="16"/>
              </w:rPr>
            </w:pPr>
          </w:p>
          <w:p w14:paraId="341D0D48" w14:textId="77777777" w:rsidR="005B6B21" w:rsidRPr="00BD274C" w:rsidRDefault="005B6B21" w:rsidP="009061A0">
            <w:pPr>
              <w:ind w:right="108"/>
              <w:rPr>
                <w:rFonts w:cs="Arial"/>
                <w:b/>
                <w:sz w:val="16"/>
                <w:szCs w:val="16"/>
              </w:rPr>
            </w:pPr>
            <w:r w:rsidRPr="00BD274C">
              <w:rPr>
                <w:rFonts w:cs="Arial"/>
                <w:b/>
                <w:sz w:val="16"/>
                <w:szCs w:val="16"/>
              </w:rPr>
              <w:t>Fuente de información</w:t>
            </w:r>
          </w:p>
          <w:p w14:paraId="59934AF0" w14:textId="29B981A2" w:rsidR="00364208" w:rsidRPr="00BD274C" w:rsidRDefault="00FD1C25" w:rsidP="009061A0">
            <w:pPr>
              <w:rPr>
                <w:rFonts w:cs="Arial"/>
                <w:sz w:val="16"/>
                <w:szCs w:val="16"/>
              </w:rPr>
            </w:pPr>
            <w:proofErr w:type="spellStart"/>
            <w:r w:rsidRPr="00BD274C">
              <w:rPr>
                <w:rFonts w:cs="Arial"/>
                <w:smallCaps/>
                <w:sz w:val="16"/>
                <w:szCs w:val="16"/>
              </w:rPr>
              <w:t>Conapo</w:t>
            </w:r>
            <w:proofErr w:type="spellEnd"/>
            <w:r w:rsidR="006971F2" w:rsidRPr="00BD274C">
              <w:rPr>
                <w:rFonts w:cs="Arial"/>
                <w:sz w:val="16"/>
                <w:szCs w:val="16"/>
              </w:rPr>
              <w:t xml:space="preserve"> (201</w:t>
            </w:r>
            <w:r w:rsidR="008F103A">
              <w:rPr>
                <w:rFonts w:cs="Arial"/>
                <w:sz w:val="16"/>
                <w:szCs w:val="16"/>
              </w:rPr>
              <w:t>8</w:t>
            </w:r>
            <w:r w:rsidR="005B6B21" w:rsidRPr="00BD274C">
              <w:rPr>
                <w:rFonts w:cs="Arial"/>
                <w:sz w:val="16"/>
                <w:szCs w:val="16"/>
              </w:rPr>
              <w:t>). Proyeccione</w:t>
            </w:r>
            <w:r w:rsidR="00305932" w:rsidRPr="00BD274C">
              <w:rPr>
                <w:rFonts w:cs="Arial"/>
                <w:sz w:val="16"/>
                <w:szCs w:val="16"/>
              </w:rPr>
              <w:t xml:space="preserve">s de la </w:t>
            </w:r>
            <w:r w:rsidR="00DB376E" w:rsidRPr="00BD274C">
              <w:rPr>
                <w:rFonts w:cs="Arial"/>
                <w:sz w:val="16"/>
                <w:szCs w:val="16"/>
              </w:rPr>
              <w:t>P</w:t>
            </w:r>
            <w:r w:rsidR="00305932" w:rsidRPr="00BD274C">
              <w:rPr>
                <w:rFonts w:cs="Arial"/>
                <w:sz w:val="16"/>
                <w:szCs w:val="16"/>
              </w:rPr>
              <w:t xml:space="preserve">oblación de México </w:t>
            </w:r>
            <w:r w:rsidR="00E50473">
              <w:rPr>
                <w:rFonts w:cs="Arial"/>
                <w:sz w:val="16"/>
                <w:szCs w:val="16"/>
              </w:rPr>
              <w:t>y de las Entidades Federativas</w:t>
            </w:r>
            <w:r w:rsidR="00E50473" w:rsidRPr="00BD274C">
              <w:rPr>
                <w:rFonts w:cs="Arial"/>
                <w:sz w:val="16"/>
                <w:szCs w:val="16"/>
              </w:rPr>
              <w:t xml:space="preserve"> </w:t>
            </w:r>
            <w:r w:rsidR="00305932" w:rsidRPr="00BD274C">
              <w:rPr>
                <w:rFonts w:cs="Arial"/>
                <w:sz w:val="16"/>
                <w:szCs w:val="16"/>
              </w:rPr>
              <w:t>201</w:t>
            </w:r>
            <w:r w:rsidR="008F103A">
              <w:rPr>
                <w:rFonts w:cs="Arial"/>
                <w:sz w:val="16"/>
                <w:szCs w:val="16"/>
              </w:rPr>
              <w:t>6</w:t>
            </w:r>
            <w:r w:rsidR="00D91C21" w:rsidRPr="00BD274C">
              <w:rPr>
                <w:rFonts w:cs="Arial"/>
                <w:sz w:val="16"/>
                <w:szCs w:val="16"/>
              </w:rPr>
              <w:t>-</w:t>
            </w:r>
            <w:r w:rsidR="005B6B21" w:rsidRPr="00BD274C">
              <w:rPr>
                <w:rFonts w:cs="Arial"/>
                <w:sz w:val="16"/>
                <w:szCs w:val="16"/>
              </w:rPr>
              <w:t xml:space="preserve">2050 </w:t>
            </w:r>
            <w:r w:rsidR="00364208" w:rsidRPr="00BD274C">
              <w:rPr>
                <w:rFonts w:cs="Arial"/>
                <w:sz w:val="16"/>
                <w:szCs w:val="16"/>
              </w:rPr>
              <w:t>(</w:t>
            </w:r>
            <w:r w:rsidR="00D01133" w:rsidRPr="00BD274C">
              <w:rPr>
                <w:rFonts w:cs="Arial"/>
                <w:sz w:val="16"/>
                <w:szCs w:val="16"/>
              </w:rPr>
              <w:t>b</w:t>
            </w:r>
            <w:r w:rsidR="00364208" w:rsidRPr="00BD274C">
              <w:rPr>
                <w:rFonts w:cs="Arial"/>
                <w:sz w:val="16"/>
                <w:szCs w:val="16"/>
              </w:rPr>
              <w:t>ase de datos).</w:t>
            </w:r>
          </w:p>
          <w:p w14:paraId="02AEB37B" w14:textId="77777777" w:rsidR="00973C42" w:rsidRPr="00BD274C" w:rsidRDefault="00973C42" w:rsidP="009061A0">
            <w:pPr>
              <w:rPr>
                <w:rFonts w:cs="Arial"/>
                <w:b/>
                <w:sz w:val="16"/>
                <w:szCs w:val="16"/>
              </w:rPr>
            </w:pPr>
          </w:p>
          <w:p w14:paraId="03282471" w14:textId="77777777" w:rsidR="005B6B21" w:rsidRPr="00BD274C" w:rsidRDefault="00973C42" w:rsidP="009061A0">
            <w:pPr>
              <w:rPr>
                <w:rFonts w:cs="Arial"/>
                <w:b/>
                <w:sz w:val="16"/>
                <w:szCs w:val="16"/>
              </w:rPr>
            </w:pPr>
            <w:r w:rsidRPr="00BD274C">
              <w:rPr>
                <w:rFonts w:cs="Arial"/>
                <w:b/>
                <w:sz w:val="16"/>
                <w:szCs w:val="16"/>
              </w:rPr>
              <w:t>Notas</w:t>
            </w:r>
          </w:p>
          <w:p w14:paraId="360AC3B8" w14:textId="77777777" w:rsidR="005B6B21" w:rsidRPr="009B15A1" w:rsidRDefault="005B6B21" w:rsidP="00AF04DB">
            <w:pPr>
              <w:jc w:val="both"/>
              <w:rPr>
                <w:rFonts w:cs="Arial"/>
                <w:sz w:val="12"/>
                <w:szCs w:val="12"/>
              </w:rPr>
            </w:pPr>
            <w:r w:rsidRPr="00BD274C">
              <w:rPr>
                <w:rFonts w:cs="Arial"/>
                <w:sz w:val="12"/>
                <w:szCs w:val="12"/>
                <w:vertAlign w:val="superscript"/>
              </w:rPr>
              <w:t>1</w:t>
            </w:r>
            <w:r w:rsidRPr="00BD274C">
              <w:rPr>
                <w:rFonts w:cs="Arial"/>
                <w:sz w:val="12"/>
                <w:szCs w:val="12"/>
              </w:rPr>
              <w:t xml:space="preserve"> Se utiliza el modelo de tasa de crecimiento exponencial p</w:t>
            </w:r>
            <w:r w:rsidR="008E60C1" w:rsidRPr="00BD274C">
              <w:rPr>
                <w:rFonts w:cs="Arial"/>
                <w:sz w:val="12"/>
                <w:szCs w:val="12"/>
              </w:rPr>
              <w:t xml:space="preserve">ara coincidir metodológicamente </w:t>
            </w:r>
            <w:r w:rsidRPr="00BD274C">
              <w:rPr>
                <w:rFonts w:cs="Arial"/>
                <w:sz w:val="12"/>
                <w:szCs w:val="12"/>
              </w:rPr>
              <w:t xml:space="preserve">con las estimaciones realizadas por instituciones como </w:t>
            </w:r>
            <w:r w:rsidR="0064052B" w:rsidRPr="00BD274C">
              <w:rPr>
                <w:rFonts w:cs="Arial"/>
                <w:sz w:val="12"/>
                <w:szCs w:val="12"/>
              </w:rPr>
              <w:t>el</w:t>
            </w:r>
            <w:r w:rsidR="0064052B" w:rsidRPr="00234C47">
              <w:rPr>
                <w:rFonts w:cs="Arial"/>
                <w:caps/>
                <w:sz w:val="12"/>
                <w:szCs w:val="12"/>
              </w:rPr>
              <w:t xml:space="preserve"> </w:t>
            </w:r>
            <w:r w:rsidR="00864E52" w:rsidRPr="009B15A1">
              <w:rPr>
                <w:rFonts w:cs="Arial"/>
                <w:caps/>
                <w:sz w:val="12"/>
                <w:szCs w:val="12"/>
              </w:rPr>
              <w:t>Inegi</w:t>
            </w:r>
            <w:r w:rsidRPr="00BD274C">
              <w:rPr>
                <w:rFonts w:cs="Arial"/>
                <w:sz w:val="12"/>
                <w:szCs w:val="12"/>
              </w:rPr>
              <w:t xml:space="preserve"> o </w:t>
            </w:r>
            <w:r w:rsidR="0064052B" w:rsidRPr="00BD274C">
              <w:rPr>
                <w:rFonts w:cs="Arial"/>
                <w:sz w:val="12"/>
                <w:szCs w:val="12"/>
              </w:rPr>
              <w:t xml:space="preserve">el </w:t>
            </w:r>
            <w:proofErr w:type="spellStart"/>
            <w:r w:rsidR="00864E52" w:rsidRPr="00BD274C">
              <w:rPr>
                <w:rFonts w:cs="Arial"/>
                <w:smallCaps/>
                <w:sz w:val="12"/>
                <w:szCs w:val="12"/>
              </w:rPr>
              <w:t>Conapo</w:t>
            </w:r>
            <w:proofErr w:type="spellEnd"/>
            <w:r w:rsidRPr="00BD274C">
              <w:rPr>
                <w:rFonts w:cs="Arial"/>
                <w:sz w:val="12"/>
                <w:szCs w:val="12"/>
              </w:rPr>
              <w:t xml:space="preserve">. Las diferencias </w:t>
            </w:r>
            <w:r w:rsidR="008E60C1" w:rsidRPr="00BD274C">
              <w:rPr>
                <w:rFonts w:cs="Arial"/>
                <w:sz w:val="12"/>
                <w:szCs w:val="12"/>
              </w:rPr>
              <w:t>entre</w:t>
            </w:r>
            <w:r w:rsidRPr="00BD274C">
              <w:rPr>
                <w:rFonts w:cs="Arial"/>
                <w:sz w:val="12"/>
                <w:szCs w:val="12"/>
              </w:rPr>
              <w:t xml:space="preserve"> </w:t>
            </w:r>
            <w:r w:rsidR="008E60C1" w:rsidRPr="00BD274C">
              <w:rPr>
                <w:rFonts w:cs="Arial"/>
                <w:sz w:val="12"/>
                <w:szCs w:val="12"/>
              </w:rPr>
              <w:t xml:space="preserve">aplicar </w:t>
            </w:r>
            <w:r w:rsidRPr="00BD274C">
              <w:rPr>
                <w:rFonts w:cs="Arial"/>
                <w:sz w:val="12"/>
                <w:szCs w:val="12"/>
              </w:rPr>
              <w:t xml:space="preserve">este modelo </w:t>
            </w:r>
            <w:r w:rsidR="008E60C1" w:rsidRPr="00BD274C">
              <w:rPr>
                <w:rFonts w:cs="Arial"/>
                <w:sz w:val="12"/>
                <w:szCs w:val="12"/>
              </w:rPr>
              <w:t xml:space="preserve">o </w:t>
            </w:r>
            <w:r w:rsidRPr="00BD274C">
              <w:rPr>
                <w:rFonts w:cs="Arial"/>
                <w:sz w:val="12"/>
                <w:szCs w:val="12"/>
              </w:rPr>
              <w:t>el de tasa de crecimiento geométrico resultan</w:t>
            </w:r>
            <w:r w:rsidR="00D31F49" w:rsidRPr="00BD274C">
              <w:rPr>
                <w:rFonts w:cs="Arial"/>
                <w:sz w:val="12"/>
                <w:szCs w:val="12"/>
              </w:rPr>
              <w:t xml:space="preserve"> exiguas</w:t>
            </w:r>
            <w:r w:rsidRPr="00BD274C">
              <w:rPr>
                <w:rFonts w:cs="Arial"/>
                <w:sz w:val="12"/>
                <w:szCs w:val="12"/>
              </w:rPr>
              <w:t xml:space="preserve"> para periodos </w:t>
            </w:r>
            <w:r w:rsidRPr="009B15A1">
              <w:rPr>
                <w:rFonts w:cs="Arial"/>
                <w:sz w:val="12"/>
                <w:szCs w:val="12"/>
              </w:rPr>
              <w:t>cortos (</w:t>
            </w:r>
            <w:proofErr w:type="spellStart"/>
            <w:r w:rsidRPr="009B15A1">
              <w:rPr>
                <w:rFonts w:cs="Arial"/>
                <w:sz w:val="12"/>
                <w:szCs w:val="12"/>
              </w:rPr>
              <w:t>Keyfitz</w:t>
            </w:r>
            <w:proofErr w:type="spellEnd"/>
            <w:r w:rsidRPr="009B15A1">
              <w:rPr>
                <w:rFonts w:cs="Arial"/>
                <w:sz w:val="12"/>
                <w:szCs w:val="12"/>
              </w:rPr>
              <w:t>, 1985).</w:t>
            </w:r>
          </w:p>
          <w:p w14:paraId="56032AF3" w14:textId="77777777" w:rsidR="005B6B21" w:rsidRPr="00BD274C" w:rsidRDefault="005B6B21" w:rsidP="00AF04DB">
            <w:pPr>
              <w:jc w:val="both"/>
              <w:rPr>
                <w:rFonts w:cs="Arial"/>
                <w:sz w:val="12"/>
                <w:szCs w:val="12"/>
              </w:rPr>
            </w:pPr>
            <w:bookmarkStart w:id="0" w:name="OLE_LINK3"/>
            <w:bookmarkStart w:id="1" w:name="OLE_LINK4"/>
            <w:r w:rsidRPr="009B15A1">
              <w:rPr>
                <w:rFonts w:ascii="Arial (W1)" w:hAnsi="Arial (W1)" w:cs="Arial"/>
                <w:sz w:val="12"/>
                <w:szCs w:val="12"/>
                <w:vertAlign w:val="superscript"/>
              </w:rPr>
              <w:t>2</w:t>
            </w:r>
            <w:r w:rsidRPr="009B15A1">
              <w:rPr>
                <w:rFonts w:cs="Arial"/>
                <w:sz w:val="12"/>
                <w:szCs w:val="12"/>
              </w:rPr>
              <w:t xml:space="preserve"> El intervalo de tiempo transcurrido se expresa en años. Los años considerados deben corresponder al mismo día y mes, y se ha</w:t>
            </w:r>
            <w:r w:rsidRPr="00BD274C">
              <w:rPr>
                <w:rFonts w:cs="Arial"/>
                <w:sz w:val="12"/>
                <w:szCs w:val="12"/>
              </w:rPr>
              <w:t xml:space="preserve"> convenido que la población a mitad de año se calcule al 30 de junio. Por ejemp</w:t>
            </w:r>
            <w:r w:rsidR="00AA3545" w:rsidRPr="00BD274C">
              <w:rPr>
                <w:rFonts w:cs="Arial"/>
                <w:sz w:val="12"/>
                <w:szCs w:val="12"/>
              </w:rPr>
              <w:t>lo, entre el 30 de junio de 201</w:t>
            </w:r>
            <w:r w:rsidR="00864E52" w:rsidRPr="00BD274C">
              <w:rPr>
                <w:rFonts w:cs="Arial"/>
                <w:sz w:val="12"/>
                <w:szCs w:val="12"/>
              </w:rPr>
              <w:t>5</w:t>
            </w:r>
            <w:r w:rsidR="00AA3545" w:rsidRPr="00BD274C">
              <w:rPr>
                <w:rFonts w:cs="Arial"/>
                <w:sz w:val="12"/>
                <w:szCs w:val="12"/>
              </w:rPr>
              <w:t xml:space="preserve"> y el 30 de junio de 201</w:t>
            </w:r>
            <w:r w:rsidR="00864E52" w:rsidRPr="00BD274C">
              <w:rPr>
                <w:rFonts w:cs="Arial"/>
                <w:sz w:val="12"/>
                <w:szCs w:val="12"/>
              </w:rPr>
              <w:t>6</w:t>
            </w:r>
            <w:r w:rsidRPr="00BD274C">
              <w:rPr>
                <w:rFonts w:cs="Arial"/>
                <w:sz w:val="12"/>
                <w:szCs w:val="12"/>
              </w:rPr>
              <w:t xml:space="preserve"> se obtiene un </w:t>
            </w:r>
            <w:r w:rsidRPr="00BD274C">
              <w:rPr>
                <w:rFonts w:cs="Arial"/>
                <w:i/>
                <w:sz w:val="12"/>
                <w:szCs w:val="12"/>
              </w:rPr>
              <w:t>∆t=1</w:t>
            </w:r>
            <w:r w:rsidRPr="00BD274C">
              <w:rPr>
                <w:rFonts w:cs="Arial"/>
                <w:sz w:val="12"/>
                <w:szCs w:val="12"/>
              </w:rPr>
              <w:t>.</w:t>
            </w:r>
            <w:bookmarkEnd w:id="0"/>
            <w:bookmarkEnd w:id="1"/>
          </w:p>
          <w:p w14:paraId="52939EEB" w14:textId="2ACBC64B" w:rsidR="00A00B1C" w:rsidRPr="00BC50A6" w:rsidRDefault="00A00B1C" w:rsidP="00AF04DB">
            <w:pPr>
              <w:jc w:val="both"/>
              <w:rPr>
                <w:rFonts w:cs="Arial"/>
                <w:sz w:val="12"/>
                <w:szCs w:val="12"/>
              </w:rPr>
            </w:pPr>
            <w:r w:rsidRPr="00BD274C">
              <w:rPr>
                <w:rFonts w:cs="Arial"/>
                <w:sz w:val="12"/>
                <w:szCs w:val="12"/>
                <w:vertAlign w:val="superscript"/>
              </w:rPr>
              <w:t>3</w:t>
            </w:r>
            <w:r w:rsidRPr="00BD274C">
              <w:rPr>
                <w:rFonts w:cs="Arial"/>
                <w:sz w:val="16"/>
                <w:szCs w:val="16"/>
                <w:vertAlign w:val="superscript"/>
              </w:rPr>
              <w:t xml:space="preserve"> </w:t>
            </w:r>
            <w:r w:rsidRPr="00BD274C">
              <w:rPr>
                <w:rFonts w:cs="Arial"/>
                <w:sz w:val="12"/>
                <w:szCs w:val="12"/>
              </w:rPr>
              <w:t>Se incorporó la edad inicial (0 a 2</w:t>
            </w:r>
            <w:r w:rsidR="004505E3" w:rsidRPr="00BD274C">
              <w:rPr>
                <w:rFonts w:cs="Arial"/>
                <w:sz w:val="12"/>
                <w:szCs w:val="12"/>
              </w:rPr>
              <w:t xml:space="preserve"> años</w:t>
            </w:r>
            <w:r w:rsidRPr="00BD274C">
              <w:rPr>
                <w:rFonts w:cs="Arial"/>
                <w:sz w:val="12"/>
                <w:szCs w:val="12"/>
              </w:rPr>
              <w:t>) para fines comparativos</w:t>
            </w:r>
            <w:r w:rsidR="00DB376E" w:rsidRPr="00BD274C">
              <w:rPr>
                <w:rFonts w:cs="Arial"/>
                <w:sz w:val="12"/>
                <w:szCs w:val="12"/>
              </w:rPr>
              <w:t>,</w:t>
            </w:r>
            <w:r w:rsidRPr="00BD274C">
              <w:rPr>
                <w:rFonts w:cs="Arial"/>
                <w:sz w:val="12"/>
                <w:szCs w:val="12"/>
              </w:rPr>
              <w:t xml:space="preserve"> aunque no corresponde estrictamente a</w:t>
            </w:r>
            <w:r w:rsidR="00E50473">
              <w:rPr>
                <w:rFonts w:cs="Arial"/>
                <w:sz w:val="12"/>
                <w:szCs w:val="12"/>
              </w:rPr>
              <w:t xml:space="preserve"> </w:t>
            </w:r>
            <w:r w:rsidRPr="00BD274C">
              <w:rPr>
                <w:rFonts w:cs="Arial"/>
                <w:sz w:val="12"/>
                <w:szCs w:val="12"/>
              </w:rPr>
              <w:t>educación básica.</w:t>
            </w:r>
          </w:p>
        </w:tc>
      </w:tr>
    </w:tbl>
    <w:p w14:paraId="5119EA3D" w14:textId="200FA095" w:rsidR="005B6B21" w:rsidRDefault="005B6B21" w:rsidP="005B6B21">
      <w:pPr>
        <w:rPr>
          <w:sz w:val="16"/>
          <w:szCs w:val="16"/>
        </w:rPr>
      </w:pPr>
      <w:bookmarkStart w:id="2" w:name="_GoBack"/>
      <w:bookmarkEnd w:id="2"/>
    </w:p>
    <w:sectPr w:rsidR="005B6B21" w:rsidSect="005670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26D3A"/>
    <w:multiLevelType w:val="hybridMultilevel"/>
    <w:tmpl w:val="4516D2E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B21"/>
    <w:rsid w:val="00010591"/>
    <w:rsid w:val="000233ED"/>
    <w:rsid w:val="0002623B"/>
    <w:rsid w:val="00026A25"/>
    <w:rsid w:val="00045161"/>
    <w:rsid w:val="0007478B"/>
    <w:rsid w:val="000765ED"/>
    <w:rsid w:val="00077886"/>
    <w:rsid w:val="0008463B"/>
    <w:rsid w:val="00085A4E"/>
    <w:rsid w:val="000928CA"/>
    <w:rsid w:val="000A5604"/>
    <w:rsid w:val="000B186A"/>
    <w:rsid w:val="000E530C"/>
    <w:rsid w:val="00106251"/>
    <w:rsid w:val="00113218"/>
    <w:rsid w:val="0012391A"/>
    <w:rsid w:val="00134FE0"/>
    <w:rsid w:val="00153BAA"/>
    <w:rsid w:val="00166033"/>
    <w:rsid w:val="00170291"/>
    <w:rsid w:val="00172041"/>
    <w:rsid w:val="00177E08"/>
    <w:rsid w:val="00195356"/>
    <w:rsid w:val="001A7A0C"/>
    <w:rsid w:val="001C1D29"/>
    <w:rsid w:val="001C1F23"/>
    <w:rsid w:val="001D2AEA"/>
    <w:rsid w:val="00207587"/>
    <w:rsid w:val="00222788"/>
    <w:rsid w:val="002233F6"/>
    <w:rsid w:val="00231FEB"/>
    <w:rsid w:val="00234C47"/>
    <w:rsid w:val="002913C4"/>
    <w:rsid w:val="002A7CDF"/>
    <w:rsid w:val="002B255A"/>
    <w:rsid w:val="002B2AC9"/>
    <w:rsid w:val="002C0BD9"/>
    <w:rsid w:val="002D2105"/>
    <w:rsid w:val="002D29A4"/>
    <w:rsid w:val="0030046C"/>
    <w:rsid w:val="00304EDF"/>
    <w:rsid w:val="00305932"/>
    <w:rsid w:val="00330C42"/>
    <w:rsid w:val="0034106E"/>
    <w:rsid w:val="00342E2B"/>
    <w:rsid w:val="00364208"/>
    <w:rsid w:val="00371F34"/>
    <w:rsid w:val="00396556"/>
    <w:rsid w:val="003A2160"/>
    <w:rsid w:val="003B1349"/>
    <w:rsid w:val="003E136B"/>
    <w:rsid w:val="003E5DFA"/>
    <w:rsid w:val="003E6571"/>
    <w:rsid w:val="003F3648"/>
    <w:rsid w:val="00402FD9"/>
    <w:rsid w:val="00417605"/>
    <w:rsid w:val="004505E3"/>
    <w:rsid w:val="0047005B"/>
    <w:rsid w:val="0047132D"/>
    <w:rsid w:val="00493B1D"/>
    <w:rsid w:val="004B77BA"/>
    <w:rsid w:val="004C5B3A"/>
    <w:rsid w:val="004F4431"/>
    <w:rsid w:val="005044BC"/>
    <w:rsid w:val="00512A78"/>
    <w:rsid w:val="0051727E"/>
    <w:rsid w:val="005263D7"/>
    <w:rsid w:val="0052743B"/>
    <w:rsid w:val="0054557E"/>
    <w:rsid w:val="005455DB"/>
    <w:rsid w:val="00553F26"/>
    <w:rsid w:val="005555BA"/>
    <w:rsid w:val="00561E20"/>
    <w:rsid w:val="005670B4"/>
    <w:rsid w:val="00581A67"/>
    <w:rsid w:val="0058587A"/>
    <w:rsid w:val="00587B2E"/>
    <w:rsid w:val="00590A7A"/>
    <w:rsid w:val="00591291"/>
    <w:rsid w:val="00593D7F"/>
    <w:rsid w:val="005B4245"/>
    <w:rsid w:val="005B6B21"/>
    <w:rsid w:val="005C499D"/>
    <w:rsid w:val="005C6ADF"/>
    <w:rsid w:val="005D1DF6"/>
    <w:rsid w:val="005E28C6"/>
    <w:rsid w:val="005E2BEC"/>
    <w:rsid w:val="005F1A85"/>
    <w:rsid w:val="005F52B1"/>
    <w:rsid w:val="0064052B"/>
    <w:rsid w:val="00647793"/>
    <w:rsid w:val="00660DE0"/>
    <w:rsid w:val="00675C66"/>
    <w:rsid w:val="00677891"/>
    <w:rsid w:val="006815A6"/>
    <w:rsid w:val="006971F2"/>
    <w:rsid w:val="006B57E0"/>
    <w:rsid w:val="006D34D0"/>
    <w:rsid w:val="006D4499"/>
    <w:rsid w:val="0072408D"/>
    <w:rsid w:val="00726CF6"/>
    <w:rsid w:val="00754DD5"/>
    <w:rsid w:val="0075525E"/>
    <w:rsid w:val="00764887"/>
    <w:rsid w:val="007827E3"/>
    <w:rsid w:val="007937A0"/>
    <w:rsid w:val="007A77B2"/>
    <w:rsid w:val="007B418F"/>
    <w:rsid w:val="007C0219"/>
    <w:rsid w:val="007C3869"/>
    <w:rsid w:val="007C49AB"/>
    <w:rsid w:val="007D3639"/>
    <w:rsid w:val="007D7C56"/>
    <w:rsid w:val="007F6B9E"/>
    <w:rsid w:val="0086033E"/>
    <w:rsid w:val="00864E52"/>
    <w:rsid w:val="008652AF"/>
    <w:rsid w:val="008653EB"/>
    <w:rsid w:val="00870BD8"/>
    <w:rsid w:val="0087699D"/>
    <w:rsid w:val="008811B6"/>
    <w:rsid w:val="0088255F"/>
    <w:rsid w:val="008A001D"/>
    <w:rsid w:val="008B1E8B"/>
    <w:rsid w:val="008B47C4"/>
    <w:rsid w:val="008C205D"/>
    <w:rsid w:val="008D2D22"/>
    <w:rsid w:val="008E60C1"/>
    <w:rsid w:val="008F103A"/>
    <w:rsid w:val="009061A0"/>
    <w:rsid w:val="00907AF3"/>
    <w:rsid w:val="00912C8F"/>
    <w:rsid w:val="00923CFD"/>
    <w:rsid w:val="0093018D"/>
    <w:rsid w:val="009308A7"/>
    <w:rsid w:val="00937F9E"/>
    <w:rsid w:val="00942D66"/>
    <w:rsid w:val="00946F9F"/>
    <w:rsid w:val="00950598"/>
    <w:rsid w:val="00953E34"/>
    <w:rsid w:val="009603EA"/>
    <w:rsid w:val="009704E7"/>
    <w:rsid w:val="0097292A"/>
    <w:rsid w:val="009730E6"/>
    <w:rsid w:val="00973C42"/>
    <w:rsid w:val="00977765"/>
    <w:rsid w:val="00983FBA"/>
    <w:rsid w:val="00986211"/>
    <w:rsid w:val="00992ABF"/>
    <w:rsid w:val="009A0C16"/>
    <w:rsid w:val="009A2417"/>
    <w:rsid w:val="009B15A1"/>
    <w:rsid w:val="009B6E1B"/>
    <w:rsid w:val="009C0BAC"/>
    <w:rsid w:val="00A00B1C"/>
    <w:rsid w:val="00A17AAB"/>
    <w:rsid w:val="00A2665D"/>
    <w:rsid w:val="00A31598"/>
    <w:rsid w:val="00A445F0"/>
    <w:rsid w:val="00A532CE"/>
    <w:rsid w:val="00A91689"/>
    <w:rsid w:val="00AA3545"/>
    <w:rsid w:val="00AB4055"/>
    <w:rsid w:val="00AB5785"/>
    <w:rsid w:val="00AC71F4"/>
    <w:rsid w:val="00AF04DB"/>
    <w:rsid w:val="00B018D2"/>
    <w:rsid w:val="00B0503F"/>
    <w:rsid w:val="00B7436E"/>
    <w:rsid w:val="00B81227"/>
    <w:rsid w:val="00B9635C"/>
    <w:rsid w:val="00BC329D"/>
    <w:rsid w:val="00BC50A6"/>
    <w:rsid w:val="00BC5CD6"/>
    <w:rsid w:val="00BC7870"/>
    <w:rsid w:val="00BD035F"/>
    <w:rsid w:val="00BD113A"/>
    <w:rsid w:val="00BD274C"/>
    <w:rsid w:val="00C06211"/>
    <w:rsid w:val="00C13C83"/>
    <w:rsid w:val="00C2374B"/>
    <w:rsid w:val="00C243BF"/>
    <w:rsid w:val="00C31E48"/>
    <w:rsid w:val="00C32743"/>
    <w:rsid w:val="00C43EE0"/>
    <w:rsid w:val="00C61008"/>
    <w:rsid w:val="00C6205F"/>
    <w:rsid w:val="00C622FB"/>
    <w:rsid w:val="00C817D5"/>
    <w:rsid w:val="00C82E44"/>
    <w:rsid w:val="00C9021A"/>
    <w:rsid w:val="00CA63BB"/>
    <w:rsid w:val="00CA68F3"/>
    <w:rsid w:val="00CB18A5"/>
    <w:rsid w:val="00CB40BB"/>
    <w:rsid w:val="00CB6A48"/>
    <w:rsid w:val="00CE691C"/>
    <w:rsid w:val="00D01133"/>
    <w:rsid w:val="00D14118"/>
    <w:rsid w:val="00D14752"/>
    <w:rsid w:val="00D31F49"/>
    <w:rsid w:val="00D4536D"/>
    <w:rsid w:val="00D50E87"/>
    <w:rsid w:val="00D52B09"/>
    <w:rsid w:val="00D52BF3"/>
    <w:rsid w:val="00D57FA7"/>
    <w:rsid w:val="00D71217"/>
    <w:rsid w:val="00D91C21"/>
    <w:rsid w:val="00DB376E"/>
    <w:rsid w:val="00DE64EF"/>
    <w:rsid w:val="00E015A8"/>
    <w:rsid w:val="00E01D60"/>
    <w:rsid w:val="00E047FC"/>
    <w:rsid w:val="00E109E4"/>
    <w:rsid w:val="00E25DF2"/>
    <w:rsid w:val="00E34A68"/>
    <w:rsid w:val="00E37682"/>
    <w:rsid w:val="00E50473"/>
    <w:rsid w:val="00E62571"/>
    <w:rsid w:val="00E62FDC"/>
    <w:rsid w:val="00E66F80"/>
    <w:rsid w:val="00E6765A"/>
    <w:rsid w:val="00E67BAE"/>
    <w:rsid w:val="00E935C6"/>
    <w:rsid w:val="00EC6810"/>
    <w:rsid w:val="00EE09A0"/>
    <w:rsid w:val="00EE1C7A"/>
    <w:rsid w:val="00EE3614"/>
    <w:rsid w:val="00F15DA3"/>
    <w:rsid w:val="00F23160"/>
    <w:rsid w:val="00F40D30"/>
    <w:rsid w:val="00F47D9E"/>
    <w:rsid w:val="00F5138B"/>
    <w:rsid w:val="00F52D88"/>
    <w:rsid w:val="00F6129E"/>
    <w:rsid w:val="00F731E4"/>
    <w:rsid w:val="00F76F0E"/>
    <w:rsid w:val="00F837A0"/>
    <w:rsid w:val="00F85D34"/>
    <w:rsid w:val="00F978E5"/>
    <w:rsid w:val="00FB2466"/>
    <w:rsid w:val="00FB46F7"/>
    <w:rsid w:val="00FC4807"/>
    <w:rsid w:val="00FD1C25"/>
    <w:rsid w:val="00FD43B5"/>
    <w:rsid w:val="00FD4E15"/>
    <w:rsid w:val="00FE35AC"/>
    <w:rsid w:val="00FF003E"/>
    <w:rsid w:val="00FF318A"/>
    <w:rsid w:val="00FF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8F3111"/>
  <w15:docId w15:val="{09EBBBA6-DAB1-443F-90FE-FCC0C475E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6B21"/>
    <w:rPr>
      <w:rFonts w:ascii="Arial" w:hAnsi="Arial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5B6B21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371F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71F34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C13C8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C13C8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13C83"/>
    <w:rPr>
      <w:rFonts w:ascii="Arial" w:hAnsi="Arial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13C8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13C83"/>
    <w:rPr>
      <w:rFonts w:ascii="Arial" w:hAnsi="Arial"/>
      <w:b/>
      <w:bCs/>
      <w:lang w:val="es-ES" w:eastAsia="es-ES"/>
    </w:rPr>
  </w:style>
  <w:style w:type="paragraph" w:styleId="Revisin">
    <w:name w:val="Revision"/>
    <w:hidden/>
    <w:uiPriority w:val="99"/>
    <w:semiHidden/>
    <w:rsid w:val="00CB40BB"/>
    <w:rPr>
      <w:rFonts w:ascii="Arial" w:hAnsi="Arial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CB18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42994-83FB-4CFC-A64B-94C7C40FD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419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Nombre del indicador:</vt:lpstr>
    </vt:vector>
  </TitlesOfParts>
  <Company>INEE</Company>
  <LinksUpToDate>false</LinksUpToDate>
  <CharactersWithSpaces>2719</CharactersWithSpaces>
  <SharedDoc>false</SharedDoc>
  <HLinks>
    <vt:vector size="6" baseType="variant">
      <vt:variant>
        <vt:i4>6291571</vt:i4>
      </vt:variant>
      <vt:variant>
        <vt:i4>0</vt:i4>
      </vt:variant>
      <vt:variant>
        <vt:i4>0</vt:i4>
      </vt:variant>
      <vt:variant>
        <vt:i4>5</vt:i4>
      </vt:variant>
      <vt:variant>
        <vt:lpwstr>http://www.conapo.gob.mx/00cifras/5.htm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del indicador:</dc:title>
  <dc:creator>ldegante</dc:creator>
  <cp:lastModifiedBy>NAA</cp:lastModifiedBy>
  <cp:revision>43</cp:revision>
  <cp:lastPrinted>2012-11-16T22:55:00Z</cp:lastPrinted>
  <dcterms:created xsi:type="dcterms:W3CDTF">2017-12-07T23:16:00Z</dcterms:created>
  <dcterms:modified xsi:type="dcterms:W3CDTF">2019-05-27T15:19:00Z</dcterms:modified>
</cp:coreProperties>
</file>