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6098D" w:rsidRPr="00F4237E" w:rsidRDefault="000E6EAD" w:rsidP="00E6098D">
      <w:pPr>
        <w:rPr>
          <w:rFonts w:ascii="Arial" w:hAnsi="Arial" w:cs="Arial"/>
          <w:lang w:val="en-GB"/>
        </w:rPr>
      </w:pPr>
      <w:r w:rsidRPr="00F4237E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-36278</wp:posOffset>
                </wp:positionH>
                <wp:positionV relativeFrom="paragraph">
                  <wp:posOffset>85532</wp:posOffset>
                </wp:positionV>
                <wp:extent cx="685800" cy="242901"/>
                <wp:effectExtent l="0" t="0" r="19050" b="2413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4290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098D" w:rsidRPr="00470ACB" w:rsidRDefault="00E6098D" w:rsidP="00E6098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RE0</w:t>
                            </w:r>
                            <w:r w:rsidR="00AE1A5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6" style="position:absolute;margin-left:-2.85pt;margin-top:6.75pt;width:54pt;height:19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">
                <v:textbox>
                  <w:txbxContent>
                    <w:p w:rsidR="00E6098D" w:rsidRPr="00470ACB" w:rsidRDefault="00E6098D" w:rsidP="00E6098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RE0</w:t>
                      </w:r>
                      <w:r w:rsidR="00AE1A53">
                        <w:rPr>
                          <w:rFonts w:ascii="Arial" w:hAnsi="Arial" w:cs="Arial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roundrect>
            </w:pict>
          </mc:Fallback>
        </mc:AlternateContent>
      </w:r>
      <w:r w:rsidR="00873D10">
        <w:rPr>
          <w:rFonts w:ascii="Arial" w:hAnsi="Arial" w:cs="Arial"/>
          <w:lang w:val="en-GB"/>
        </w:rPr>
        <w:t xml:space="preserve"> </w:t>
      </w:r>
    </w:p>
    <w:p w:rsidR="00E6098D" w:rsidRPr="00F4237E" w:rsidRDefault="00E6098D" w:rsidP="00E6098D">
      <w:pPr>
        <w:rPr>
          <w:rFonts w:ascii="Arial" w:hAnsi="Arial" w:cs="Arial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4"/>
      </w:tblGrid>
      <w:tr w:rsidR="00E6098D" w:rsidRPr="00F4237E" w:rsidTr="00E6098D">
        <w:trPr>
          <w:trHeight w:val="8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:rsidR="00E6098D" w:rsidRPr="00F4237E" w:rsidRDefault="00B93FE7" w:rsidP="00E6098D">
            <w:pPr>
              <w:tabs>
                <w:tab w:val="left" w:pos="0"/>
              </w:tabs>
              <w:ind w:right="11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37E">
              <w:rPr>
                <w:rFonts w:ascii="Arial" w:hAnsi="Arial" w:cs="Arial"/>
                <w:b/>
                <w:bCs/>
                <w:sz w:val="16"/>
                <w:szCs w:val="16"/>
              </w:rPr>
              <w:t>Nombre del indicador</w:t>
            </w:r>
          </w:p>
          <w:p w:rsidR="00E6098D" w:rsidRPr="00F4237E" w:rsidRDefault="00E6098D" w:rsidP="00B8024A">
            <w:pPr>
              <w:rPr>
                <w:rFonts w:ascii="Arial" w:hAnsi="Arial" w:cs="Arial"/>
                <w:sz w:val="16"/>
                <w:szCs w:val="16"/>
              </w:rPr>
            </w:pPr>
            <w:r w:rsidRPr="00F4237E">
              <w:rPr>
                <w:rFonts w:ascii="Arial" w:hAnsi="Arial" w:cs="Arial"/>
                <w:sz w:val="16"/>
                <w:szCs w:val="16"/>
              </w:rPr>
              <w:t>Porcentaje de trabajadores con contratación estable</w:t>
            </w:r>
          </w:p>
        </w:tc>
      </w:tr>
      <w:tr w:rsidR="00E6098D" w:rsidRPr="00F4237E" w:rsidTr="00E6098D">
        <w:trPr>
          <w:trHeight w:val="2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:rsidR="00E6098D" w:rsidRPr="00F4237E" w:rsidRDefault="00B93FE7" w:rsidP="00E609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4237E">
              <w:rPr>
                <w:rFonts w:ascii="Arial" w:hAnsi="Arial" w:cs="Arial"/>
                <w:b/>
                <w:sz w:val="16"/>
                <w:szCs w:val="16"/>
              </w:rPr>
              <w:t>Definición</w:t>
            </w:r>
          </w:p>
          <w:p w:rsidR="00E6098D" w:rsidRPr="00F4237E" w:rsidRDefault="00E6098D" w:rsidP="00873D1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4237E">
              <w:rPr>
                <w:rFonts w:ascii="Arial" w:hAnsi="Arial" w:cs="Arial"/>
                <w:sz w:val="16"/>
                <w:szCs w:val="16"/>
              </w:rPr>
              <w:t>Población ocupada subordinada remunerada</w:t>
            </w:r>
            <w:r w:rsidRPr="00F4237E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="0009430E" w:rsidRPr="00F4237E">
              <w:rPr>
                <w:rFonts w:ascii="Arial" w:hAnsi="Arial" w:cs="Arial"/>
                <w:sz w:val="16"/>
                <w:szCs w:val="16"/>
              </w:rPr>
              <w:t xml:space="preserve"> en un grupo de edad (j</w:t>
            </w:r>
            <w:r w:rsidR="00873D10">
              <w:rPr>
                <w:rFonts w:ascii="Arial" w:hAnsi="Arial" w:cs="Arial"/>
                <w:sz w:val="16"/>
                <w:szCs w:val="16"/>
              </w:rPr>
              <w:t>ó</w:t>
            </w:r>
            <w:r w:rsidR="0009430E" w:rsidRPr="00F4237E">
              <w:rPr>
                <w:rFonts w:ascii="Arial" w:hAnsi="Arial" w:cs="Arial"/>
                <w:sz w:val="16"/>
                <w:szCs w:val="16"/>
              </w:rPr>
              <w:t>ven</w:t>
            </w:r>
            <w:r w:rsidR="00873D10">
              <w:rPr>
                <w:rFonts w:ascii="Arial" w:hAnsi="Arial" w:cs="Arial"/>
                <w:sz w:val="16"/>
                <w:szCs w:val="16"/>
              </w:rPr>
              <w:t>es</w:t>
            </w:r>
            <w:r w:rsidR="004718F9" w:rsidRPr="00F4237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D9226B" w:rsidRPr="00F4237E">
              <w:rPr>
                <w:rFonts w:ascii="Arial" w:hAnsi="Arial" w:cs="Arial"/>
                <w:sz w:val="16"/>
                <w:szCs w:val="16"/>
              </w:rPr>
              <w:t>15</w:t>
            </w:r>
            <w:r w:rsidRPr="00F4237E">
              <w:rPr>
                <w:rFonts w:ascii="Arial" w:hAnsi="Arial" w:cs="Arial"/>
                <w:sz w:val="16"/>
                <w:szCs w:val="16"/>
              </w:rPr>
              <w:t xml:space="preserve"> a</w:t>
            </w:r>
            <w:r w:rsidR="00D9226B" w:rsidRPr="00F4237E">
              <w:rPr>
                <w:rFonts w:ascii="Arial" w:hAnsi="Arial" w:cs="Arial"/>
                <w:sz w:val="16"/>
                <w:szCs w:val="16"/>
              </w:rPr>
              <w:t xml:space="preserve"> 29</w:t>
            </w:r>
            <w:r w:rsidR="0009430E" w:rsidRPr="00F4237E">
              <w:rPr>
                <w:rFonts w:ascii="Arial" w:hAnsi="Arial" w:cs="Arial"/>
                <w:sz w:val="16"/>
                <w:szCs w:val="16"/>
              </w:rPr>
              <w:t xml:space="preserve"> años y adult</w:t>
            </w:r>
            <w:r w:rsidR="00873D10">
              <w:rPr>
                <w:rFonts w:ascii="Arial" w:hAnsi="Arial" w:cs="Arial"/>
                <w:sz w:val="16"/>
                <w:szCs w:val="16"/>
              </w:rPr>
              <w:t>os</w:t>
            </w:r>
            <w:r w:rsidR="004718F9" w:rsidRPr="00F4237E">
              <w:rPr>
                <w:rFonts w:ascii="Arial" w:hAnsi="Arial" w:cs="Arial"/>
                <w:sz w:val="16"/>
                <w:szCs w:val="16"/>
              </w:rPr>
              <w:t xml:space="preserve"> de </w:t>
            </w:r>
            <w:smartTag w:uri="urn:schemas-microsoft-com:office:smarttags" w:element="metricconverter">
              <w:smartTagPr>
                <w:attr w:name="ProductID" w:val="25 a"/>
              </w:smartTagPr>
              <w:r w:rsidRPr="00F4237E">
                <w:rPr>
                  <w:rFonts w:ascii="Arial" w:hAnsi="Arial" w:cs="Arial"/>
                  <w:sz w:val="16"/>
                  <w:szCs w:val="16"/>
                </w:rPr>
                <w:t>25 a</w:t>
              </w:r>
            </w:smartTag>
            <w:r w:rsidRPr="00F4237E">
              <w:rPr>
                <w:rFonts w:ascii="Arial" w:hAnsi="Arial" w:cs="Arial"/>
                <w:sz w:val="16"/>
                <w:szCs w:val="16"/>
              </w:rPr>
              <w:t xml:space="preserve"> 64 años) </w:t>
            </w:r>
            <w:r w:rsidR="00985F39" w:rsidRPr="00F4237E">
              <w:rPr>
                <w:rFonts w:ascii="Arial" w:hAnsi="Arial" w:cs="Arial"/>
                <w:sz w:val="16"/>
                <w:szCs w:val="16"/>
              </w:rPr>
              <w:t xml:space="preserve">y nivel de escolaridad </w:t>
            </w:r>
            <w:r w:rsidRPr="00F4237E">
              <w:rPr>
                <w:rFonts w:ascii="Arial" w:hAnsi="Arial" w:cs="Arial"/>
                <w:sz w:val="16"/>
                <w:szCs w:val="16"/>
              </w:rPr>
              <w:t>con contrato escrito de base, planta o por tiempo indefinido</w:t>
            </w:r>
            <w:r w:rsidRPr="00D9078D">
              <w:rPr>
                <w:rFonts w:ascii="Arial" w:hAnsi="Arial" w:cs="Arial"/>
                <w:sz w:val="16"/>
                <w:szCs w:val="16"/>
              </w:rPr>
              <w:t>,</w:t>
            </w:r>
            <w:r w:rsidRPr="00F4237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D2D9F" w:rsidRPr="00F4237E">
              <w:rPr>
                <w:rFonts w:ascii="Arial" w:hAnsi="Arial" w:cs="Arial"/>
                <w:sz w:val="16"/>
                <w:szCs w:val="16"/>
              </w:rPr>
              <w:t xml:space="preserve">por cada </w:t>
            </w:r>
            <w:r w:rsidR="00873D10">
              <w:rPr>
                <w:rFonts w:ascii="Arial" w:hAnsi="Arial" w:cs="Arial"/>
                <w:sz w:val="16"/>
                <w:szCs w:val="16"/>
              </w:rPr>
              <w:t>cien</w:t>
            </w:r>
            <w:r w:rsidR="00873D10" w:rsidRPr="00F4237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D2D9F" w:rsidRPr="00F4237E">
              <w:rPr>
                <w:rFonts w:ascii="Arial" w:hAnsi="Arial" w:cs="Arial"/>
                <w:sz w:val="16"/>
                <w:szCs w:val="16"/>
              </w:rPr>
              <w:t>personas de la po</w:t>
            </w:r>
            <w:r w:rsidR="0032562A" w:rsidRPr="00F4237E">
              <w:rPr>
                <w:rFonts w:ascii="Arial" w:hAnsi="Arial" w:cs="Arial"/>
                <w:sz w:val="16"/>
                <w:szCs w:val="16"/>
              </w:rPr>
              <w:t>blación ocupada remunerada, en el mismo grupo de edad y nivel de escolaridad.</w:t>
            </w:r>
          </w:p>
        </w:tc>
      </w:tr>
      <w:tr w:rsidR="00E6098D" w:rsidRPr="00F4237E" w:rsidTr="00E6098D">
        <w:trPr>
          <w:trHeight w:val="1530"/>
        </w:trPr>
        <w:tc>
          <w:tcPr>
            <w:tcW w:w="500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85" w:type="dxa"/>
              <w:right w:w="57" w:type="dxa"/>
            </w:tcMar>
          </w:tcPr>
          <w:p w:rsidR="00E6098D" w:rsidRPr="00F4237E" w:rsidRDefault="00E6098D" w:rsidP="00E6098D">
            <w:pPr>
              <w:ind w:right="-70"/>
              <w:rPr>
                <w:rFonts w:ascii="Arial" w:hAnsi="Arial" w:cs="Arial"/>
                <w:sz w:val="16"/>
                <w:szCs w:val="16"/>
              </w:rPr>
            </w:pPr>
            <w:r w:rsidRPr="00F4237E">
              <w:rPr>
                <w:rFonts w:ascii="Arial" w:hAnsi="Arial" w:cs="Arial"/>
                <w:b/>
                <w:sz w:val="16"/>
                <w:szCs w:val="16"/>
              </w:rPr>
              <w:t>Fórmula de cálculo</w:t>
            </w:r>
          </w:p>
          <w:p w:rsidR="002C2B61" w:rsidRDefault="002C2B61" w:rsidP="00E609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C2B61" w:rsidRPr="002C2B61" w:rsidRDefault="004B5B75" w:rsidP="00E6098D">
            <w:pPr>
              <w:jc w:val="center"/>
              <w:rPr>
                <w:rFonts w:ascii="Arial" w:hAnsi="Arial" w:cs="Arial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POCE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ge,  niv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PO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ge, niv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sup>
                    </m:sSubSup>
                  </m:den>
                </m:f>
                <m:r>
                  <w:rPr>
                    <w:rFonts w:ascii="Cambria Math" w:hAnsi="Cambria Math" w:cs="Arial"/>
                  </w:rPr>
                  <m:t xml:space="preserve"> × 100</m:t>
                </m:r>
              </m:oMath>
            </m:oMathPara>
          </w:p>
          <w:tbl>
            <w:tblPr>
              <w:tblW w:w="6473" w:type="dxa"/>
              <w:tblInd w:w="494" w:type="dxa"/>
              <w:tblLook w:val="01E0" w:firstRow="1" w:lastRow="1" w:firstColumn="1" w:lastColumn="1" w:noHBand="0" w:noVBand="0"/>
            </w:tblPr>
            <w:tblGrid>
              <w:gridCol w:w="1265"/>
              <w:gridCol w:w="5208"/>
            </w:tblGrid>
            <w:tr w:rsidR="00E6098D" w:rsidRPr="00F4237E" w:rsidTr="005600A5">
              <w:trPr>
                <w:trHeight w:val="60"/>
              </w:trPr>
              <w:tc>
                <w:tcPr>
                  <w:tcW w:w="1265" w:type="dxa"/>
                  <w:tcMar>
                    <w:top w:w="28" w:type="dxa"/>
                    <w:left w:w="0" w:type="dxa"/>
                    <w:bottom w:w="28" w:type="dxa"/>
                    <w:right w:w="85" w:type="dxa"/>
                  </w:tcMar>
                </w:tcPr>
                <w:p w:rsidR="002C2B61" w:rsidRDefault="002C2B61" w:rsidP="00E6098D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  <w:p w:rsidR="00E6098D" w:rsidRPr="00F4237E" w:rsidRDefault="00E6098D" w:rsidP="00E6098D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F4237E">
                    <w:rPr>
                      <w:rFonts w:ascii="Arial" w:hAnsi="Arial" w:cs="Arial"/>
                      <w:i/>
                      <w:sz w:val="16"/>
                      <w:szCs w:val="16"/>
                    </w:rPr>
                    <w:t>ge</w:t>
                  </w:r>
                </w:p>
              </w:tc>
              <w:tc>
                <w:tcPr>
                  <w:tcW w:w="5208" w:type="dxa"/>
                  <w:tcMar>
                    <w:top w:w="28" w:type="dxa"/>
                    <w:left w:w="0" w:type="dxa"/>
                    <w:bottom w:w="28" w:type="dxa"/>
                  </w:tcMar>
                  <w:vAlign w:val="center"/>
                </w:tcPr>
                <w:p w:rsidR="00E6098D" w:rsidRPr="00F4237E" w:rsidRDefault="00D9226B" w:rsidP="00E6098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>Grupo de edad: jóvenes de 15 a 29</w:t>
                  </w:r>
                  <w:r w:rsidR="00EC3C30" w:rsidRPr="00F4237E">
                    <w:rPr>
                      <w:rFonts w:ascii="Arial" w:hAnsi="Arial" w:cs="Arial"/>
                      <w:sz w:val="16"/>
                      <w:szCs w:val="16"/>
                    </w:rPr>
                    <w:t xml:space="preserve"> años y adultos de </w:t>
                  </w:r>
                  <w:smartTag w:uri="urn:schemas-microsoft-com:office:smarttags" w:element="metricconverter">
                    <w:smartTagPr>
                      <w:attr w:name="ProductID" w:val="25 a"/>
                    </w:smartTagPr>
                    <w:r w:rsidR="00EC3C30" w:rsidRPr="00F4237E">
                      <w:rPr>
                        <w:rFonts w:ascii="Arial" w:hAnsi="Arial" w:cs="Arial"/>
                        <w:sz w:val="16"/>
                        <w:szCs w:val="16"/>
                      </w:rPr>
                      <w:t>25 a</w:t>
                    </w:r>
                  </w:smartTag>
                  <w:r w:rsidR="00EC3C30" w:rsidRPr="00F4237E">
                    <w:rPr>
                      <w:rFonts w:ascii="Arial" w:hAnsi="Arial" w:cs="Arial"/>
                      <w:sz w:val="16"/>
                      <w:szCs w:val="16"/>
                    </w:rPr>
                    <w:t xml:space="preserve"> 64 años.</w:t>
                  </w:r>
                </w:p>
              </w:tc>
            </w:tr>
            <w:tr w:rsidR="00E6098D" w:rsidRPr="00F4237E" w:rsidTr="005600A5">
              <w:tc>
                <w:tcPr>
                  <w:tcW w:w="1265" w:type="dxa"/>
                  <w:tcMar>
                    <w:top w:w="28" w:type="dxa"/>
                    <w:left w:w="0" w:type="dxa"/>
                    <w:bottom w:w="28" w:type="dxa"/>
                    <w:right w:w="85" w:type="dxa"/>
                  </w:tcMar>
                </w:tcPr>
                <w:p w:rsidR="00E6098D" w:rsidRPr="00F4237E" w:rsidRDefault="00E6098D" w:rsidP="00E6098D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F4237E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          </w:t>
                  </w:r>
                  <w:proofErr w:type="spellStart"/>
                  <w:r w:rsidRPr="00F4237E">
                    <w:rPr>
                      <w:rFonts w:ascii="Arial" w:hAnsi="Arial" w:cs="Arial"/>
                      <w:i/>
                      <w:sz w:val="16"/>
                      <w:szCs w:val="16"/>
                    </w:rPr>
                    <w:t>niv</w:t>
                  </w:r>
                  <w:proofErr w:type="spellEnd"/>
                </w:p>
              </w:tc>
              <w:tc>
                <w:tcPr>
                  <w:tcW w:w="5208" w:type="dxa"/>
                  <w:tcMar>
                    <w:top w:w="28" w:type="dxa"/>
                    <w:left w:w="0" w:type="dxa"/>
                    <w:bottom w:w="28" w:type="dxa"/>
                  </w:tcMar>
                  <w:vAlign w:val="center"/>
                </w:tcPr>
                <w:p w:rsidR="00E6098D" w:rsidRPr="00F4237E" w:rsidRDefault="00EC3C30" w:rsidP="00845DD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>Nivel de escolaridad alcanzado</w:t>
                  </w:r>
                  <w:r w:rsidR="00873D10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  <w:r w:rsidRPr="00F4237E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2</w:t>
                  </w:r>
                  <w:r w:rsidR="009976C8" w:rsidRPr="00F4237E">
                    <w:rPr>
                      <w:rFonts w:ascii="Arial" w:hAnsi="Arial" w:cs="Arial"/>
                      <w:sz w:val="16"/>
                      <w:szCs w:val="16"/>
                    </w:rPr>
                    <w:t xml:space="preserve"> sin</w:t>
                  </w:r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 xml:space="preserve"> básica, básica</w:t>
                  </w:r>
                  <w:r w:rsidR="00845DD9">
                    <w:rPr>
                      <w:rFonts w:ascii="Arial" w:hAnsi="Arial" w:cs="Arial"/>
                      <w:sz w:val="16"/>
                      <w:szCs w:val="16"/>
                    </w:rPr>
                    <w:t>,</w:t>
                  </w:r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 xml:space="preserve"> media superior </w:t>
                  </w:r>
                  <w:r w:rsidR="00845DD9">
                    <w:rPr>
                      <w:rFonts w:ascii="Arial" w:hAnsi="Arial" w:cs="Arial"/>
                      <w:sz w:val="16"/>
                      <w:szCs w:val="16"/>
                    </w:rPr>
                    <w:t>y</w:t>
                  </w:r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 xml:space="preserve"> superior.</w:t>
                  </w:r>
                </w:p>
              </w:tc>
            </w:tr>
            <w:tr w:rsidR="00E6098D" w:rsidRPr="00F4237E" w:rsidTr="005600A5">
              <w:trPr>
                <w:trHeight w:val="175"/>
              </w:trPr>
              <w:tc>
                <w:tcPr>
                  <w:tcW w:w="1265" w:type="dxa"/>
                  <w:tcMar>
                    <w:left w:w="0" w:type="dxa"/>
                    <w:right w:w="85" w:type="dxa"/>
                  </w:tcMar>
                  <w:vAlign w:val="center"/>
                </w:tcPr>
                <w:p w:rsidR="00E6098D" w:rsidRPr="00F4237E" w:rsidRDefault="00E6098D" w:rsidP="00E6098D">
                  <w:pPr>
                    <w:jc w:val="center"/>
                  </w:pPr>
                  <w:r w:rsidRPr="00F4237E">
                    <w:rPr>
                      <w:rFonts w:ascii="Arial" w:hAnsi="Arial" w:cs="Arial"/>
                      <w:i/>
                      <w:sz w:val="16"/>
                      <w:szCs w:val="16"/>
                    </w:rPr>
                    <w:t>r</w:t>
                  </w:r>
                </w:p>
              </w:tc>
              <w:tc>
                <w:tcPr>
                  <w:tcW w:w="5208" w:type="dxa"/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  <w:vAlign w:val="center"/>
                </w:tcPr>
                <w:p w:rsidR="00E6098D" w:rsidRPr="00F4237E" w:rsidRDefault="00E6098D" w:rsidP="00E6098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>Trabajo remunerado.</w:t>
                  </w:r>
                </w:p>
              </w:tc>
            </w:tr>
            <w:tr w:rsidR="00E6098D" w:rsidRPr="00F4237E" w:rsidTr="005600A5">
              <w:trPr>
                <w:trHeight w:val="175"/>
              </w:trPr>
              <w:tc>
                <w:tcPr>
                  <w:tcW w:w="1265" w:type="dxa"/>
                  <w:tcMar>
                    <w:left w:w="0" w:type="dxa"/>
                    <w:right w:w="85" w:type="dxa"/>
                  </w:tcMar>
                  <w:vAlign w:val="center"/>
                </w:tcPr>
                <w:p w:rsidR="00E6098D" w:rsidRPr="00F4237E" w:rsidRDefault="00E6098D" w:rsidP="00E6098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4237E">
                    <w:rPr>
                      <w:position w:val="-12"/>
                    </w:rPr>
                    <w:object w:dxaOrig="1040" w:dyaOrig="3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1.75pt;height:18pt" o:ole="">
                        <v:imagedata r:id="rId6" o:title=""/>
                      </v:shape>
                      <o:OLEObject Type="Embed" ProgID="Equation.3" ShapeID="_x0000_i1025" DrawAspect="Content" ObjectID="_1618938239" r:id="rId7"/>
                    </w:object>
                  </w:r>
                </w:p>
              </w:tc>
              <w:tc>
                <w:tcPr>
                  <w:tcW w:w="5208" w:type="dxa"/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  <w:vAlign w:val="center"/>
                </w:tcPr>
                <w:p w:rsidR="00E6098D" w:rsidRPr="00F4237E" w:rsidRDefault="00E6098D" w:rsidP="00E6098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 xml:space="preserve">Población ocupada subordinada remunerada </w:t>
                  </w:r>
                  <w:r w:rsidRPr="00F4237E">
                    <w:rPr>
                      <w:rFonts w:ascii="Arial" w:hAnsi="Arial" w:cs="Arial"/>
                      <w:i/>
                      <w:sz w:val="16"/>
                      <w:szCs w:val="16"/>
                    </w:rPr>
                    <w:t>r</w:t>
                  </w:r>
                  <w:r w:rsidRPr="00123569">
                    <w:rPr>
                      <w:rFonts w:ascii="Arial" w:hAnsi="Arial" w:cs="Arial"/>
                      <w:sz w:val="16"/>
                      <w:szCs w:val="16"/>
                    </w:rPr>
                    <w:t>,</w:t>
                  </w:r>
                  <w:r w:rsidRPr="00F4237E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</w:t>
                  </w:r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 xml:space="preserve">con contrato estable (escrito de base, planta o por tiempo indefinido), en el grupo de edad </w:t>
                  </w:r>
                  <w:r w:rsidRPr="00F4237E">
                    <w:rPr>
                      <w:rFonts w:ascii="Arial" w:hAnsi="Arial" w:cs="Arial"/>
                      <w:i/>
                      <w:sz w:val="16"/>
                      <w:szCs w:val="16"/>
                    </w:rPr>
                    <w:t>ge</w:t>
                  </w:r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 xml:space="preserve"> y nivel de escolaridad </w:t>
                  </w:r>
                  <w:proofErr w:type="spellStart"/>
                  <w:r w:rsidRPr="00F4237E">
                    <w:rPr>
                      <w:rFonts w:ascii="Arial" w:hAnsi="Arial" w:cs="Arial"/>
                      <w:i/>
                      <w:sz w:val="16"/>
                      <w:szCs w:val="16"/>
                    </w:rPr>
                    <w:t>niv</w:t>
                  </w:r>
                  <w:proofErr w:type="spellEnd"/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E6098D" w:rsidRPr="00F4237E" w:rsidTr="005600A5">
              <w:trPr>
                <w:trHeight w:val="199"/>
              </w:trPr>
              <w:tc>
                <w:tcPr>
                  <w:tcW w:w="1265" w:type="dxa"/>
                  <w:tcMar>
                    <w:left w:w="0" w:type="dxa"/>
                    <w:right w:w="85" w:type="dxa"/>
                  </w:tcMar>
                  <w:vAlign w:val="center"/>
                </w:tcPr>
                <w:p w:rsidR="00E6098D" w:rsidRPr="00F4237E" w:rsidRDefault="00E6098D" w:rsidP="00E6098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4237E">
                    <w:rPr>
                      <w:rFonts w:ascii="Arial" w:hAnsi="Arial" w:cs="Arial"/>
                      <w:position w:val="-12"/>
                      <w:sz w:val="16"/>
                      <w:szCs w:val="16"/>
                    </w:rPr>
                    <w:object w:dxaOrig="760" w:dyaOrig="360">
                      <v:shape id="_x0000_i1026" type="#_x0000_t75" style="width:38.25pt;height:18pt" o:ole="">
                        <v:imagedata r:id="rId8" o:title=""/>
                      </v:shape>
                      <o:OLEObject Type="Embed" ProgID="Equation.3" ShapeID="_x0000_i1026" DrawAspect="Content" ObjectID="_1618938240" r:id="rId9"/>
                    </w:object>
                  </w:r>
                </w:p>
              </w:tc>
              <w:tc>
                <w:tcPr>
                  <w:tcW w:w="5208" w:type="dxa"/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  <w:vAlign w:val="center"/>
                </w:tcPr>
                <w:p w:rsidR="00E6098D" w:rsidRPr="00F4237E" w:rsidRDefault="00E6098D" w:rsidP="00E6098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 xml:space="preserve">Población total ocupada subordinada remunerada </w:t>
                  </w:r>
                  <w:r w:rsidRPr="00F4237E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r </w:t>
                  </w:r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 xml:space="preserve">en el grupo de edad </w:t>
                  </w:r>
                  <w:r w:rsidRPr="00F4237E">
                    <w:rPr>
                      <w:rFonts w:ascii="Arial" w:hAnsi="Arial" w:cs="Arial"/>
                      <w:i/>
                      <w:sz w:val="16"/>
                      <w:szCs w:val="16"/>
                    </w:rPr>
                    <w:t>ge</w:t>
                  </w:r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 xml:space="preserve"> y nivel de escolaridad </w:t>
                  </w:r>
                  <w:proofErr w:type="spellStart"/>
                  <w:r w:rsidRPr="00F4237E">
                    <w:rPr>
                      <w:rFonts w:ascii="Arial" w:hAnsi="Arial" w:cs="Arial"/>
                      <w:i/>
                      <w:sz w:val="16"/>
                      <w:szCs w:val="16"/>
                    </w:rPr>
                    <w:t>niv</w:t>
                  </w:r>
                  <w:proofErr w:type="spellEnd"/>
                  <w:r w:rsidRPr="00F4237E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E6098D" w:rsidRPr="00F4237E" w:rsidRDefault="00E6098D" w:rsidP="00E609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6098D" w:rsidRPr="00F4237E" w:rsidTr="00E6098D">
        <w:trPr>
          <w:trHeight w:val="922"/>
        </w:trPr>
        <w:tc>
          <w:tcPr>
            <w:tcW w:w="500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85" w:type="dxa"/>
              <w:right w:w="57" w:type="dxa"/>
            </w:tcMar>
          </w:tcPr>
          <w:p w:rsidR="00E6098D" w:rsidRPr="00F4237E" w:rsidRDefault="00E6098D" w:rsidP="00E6098D">
            <w:pPr>
              <w:ind w:right="-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98D" w:rsidRPr="00F4237E" w:rsidTr="00E6098D">
        <w:trPr>
          <w:trHeight w:val="62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85" w:type="dxa"/>
              <w:right w:w="57" w:type="dxa"/>
            </w:tcMar>
            <w:vAlign w:val="center"/>
          </w:tcPr>
          <w:p w:rsidR="00E6098D" w:rsidRPr="00F4237E" w:rsidRDefault="00B93FE7" w:rsidP="00E6098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4237E">
              <w:rPr>
                <w:rFonts w:ascii="Arial" w:hAnsi="Arial" w:cs="Arial"/>
                <w:b/>
                <w:sz w:val="16"/>
                <w:szCs w:val="16"/>
              </w:rPr>
              <w:t>Interpretación</w:t>
            </w:r>
          </w:p>
          <w:p w:rsidR="00E6098D" w:rsidRPr="00F4237E" w:rsidRDefault="00E6098D" w:rsidP="00E6098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4237E">
              <w:rPr>
                <w:rFonts w:ascii="Arial" w:hAnsi="Arial" w:cs="Arial"/>
                <w:sz w:val="16"/>
                <w:szCs w:val="16"/>
              </w:rPr>
              <w:t xml:space="preserve">Este indicador muestra la probabilidad de estabilidad contractual lograda por los jóvenes y adultos trabajadores, </w:t>
            </w:r>
            <w:r w:rsidR="00D9078D" w:rsidRPr="00D9078D">
              <w:rPr>
                <w:rFonts w:ascii="Arial" w:hAnsi="Arial" w:cs="Arial"/>
                <w:sz w:val="16"/>
                <w:szCs w:val="16"/>
              </w:rPr>
              <w:t xml:space="preserve">considerando </w:t>
            </w:r>
            <w:r w:rsidRPr="00D9078D">
              <w:rPr>
                <w:rFonts w:ascii="Arial" w:hAnsi="Arial" w:cs="Arial"/>
                <w:sz w:val="16"/>
                <w:szCs w:val="16"/>
              </w:rPr>
              <w:t>que</w:t>
            </w:r>
            <w:r w:rsidRPr="00F4237E">
              <w:rPr>
                <w:rFonts w:ascii="Arial" w:hAnsi="Arial" w:cs="Arial"/>
                <w:sz w:val="16"/>
                <w:szCs w:val="16"/>
              </w:rPr>
              <w:t xml:space="preserve"> han alcanzado determinado nivel de escolaridad. A medida que </w:t>
            </w:r>
            <w:r w:rsidR="00AD2D9F" w:rsidRPr="00F4237E">
              <w:rPr>
                <w:rFonts w:ascii="Arial" w:hAnsi="Arial" w:cs="Arial"/>
                <w:sz w:val="16"/>
                <w:szCs w:val="16"/>
              </w:rPr>
              <w:t xml:space="preserve">su valor es mayor </w:t>
            </w:r>
            <w:r w:rsidR="00AD2D9F" w:rsidRPr="00F4237E">
              <w:rPr>
                <w:rFonts w:ascii="Arial" w:hAnsi="Arial" w:cs="Arial"/>
                <w:sz w:val="16"/>
                <w:szCs w:val="16"/>
                <w:lang w:val="es-419"/>
              </w:rPr>
              <w:t xml:space="preserve">significa </w:t>
            </w:r>
            <w:r w:rsidRPr="00F4237E">
              <w:rPr>
                <w:rFonts w:ascii="Arial" w:hAnsi="Arial" w:cs="Arial"/>
                <w:sz w:val="16"/>
                <w:szCs w:val="16"/>
              </w:rPr>
              <w:t>que aumenta la probabilidad de tener una contratación estable. Si el indicador aumenta con la escolaridad</w:t>
            </w:r>
            <w:r w:rsidR="004B0498">
              <w:rPr>
                <w:rFonts w:ascii="Arial" w:hAnsi="Arial" w:cs="Arial"/>
                <w:sz w:val="16"/>
                <w:szCs w:val="16"/>
              </w:rPr>
              <w:t>,</w:t>
            </w:r>
            <w:r w:rsidRPr="00F4237E">
              <w:rPr>
                <w:rFonts w:ascii="Arial" w:hAnsi="Arial" w:cs="Arial"/>
                <w:sz w:val="16"/>
                <w:szCs w:val="16"/>
              </w:rPr>
              <w:t xml:space="preserve"> querrá decir que ésta, en combinación con los mercados laborales, se asocia positivamente con las posibilidades que tienen los grupos poblacionales enfocados de acceder a mejores condiciones de trabajo.</w:t>
            </w:r>
          </w:p>
        </w:tc>
      </w:tr>
      <w:tr w:rsidR="00E6098D" w:rsidRPr="00F4237E" w:rsidTr="00E6098D">
        <w:trPr>
          <w:trHeight w:val="3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85" w:type="dxa"/>
              <w:right w:w="57" w:type="dxa"/>
            </w:tcMar>
          </w:tcPr>
          <w:p w:rsidR="00E6098D" w:rsidRPr="00F4237E" w:rsidRDefault="00B93FE7" w:rsidP="00E6098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4237E">
              <w:rPr>
                <w:rFonts w:ascii="Arial" w:hAnsi="Arial" w:cs="Arial"/>
                <w:b/>
                <w:sz w:val="16"/>
                <w:szCs w:val="16"/>
              </w:rPr>
              <w:t>Utilidad</w:t>
            </w:r>
          </w:p>
          <w:p w:rsidR="00E6098D" w:rsidRPr="00F4237E" w:rsidRDefault="00273A7A" w:rsidP="00E6098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4237E">
              <w:rPr>
                <w:rFonts w:ascii="Arial" w:hAnsi="Arial" w:cs="Arial"/>
                <w:sz w:val="16"/>
                <w:szCs w:val="16"/>
              </w:rPr>
              <w:t xml:space="preserve">Este indicador </w:t>
            </w:r>
            <w:r w:rsidRPr="00123569">
              <w:rPr>
                <w:rFonts w:ascii="Arial" w:hAnsi="Arial" w:cs="Arial"/>
                <w:sz w:val="16"/>
                <w:szCs w:val="16"/>
              </w:rPr>
              <w:t>ayuda a observar la relación de la escolaridad con las condiciones laborales de las per</w:t>
            </w:r>
            <w:r w:rsidR="00E37A55" w:rsidRPr="00123569">
              <w:rPr>
                <w:rFonts w:ascii="Arial" w:hAnsi="Arial" w:cs="Arial"/>
                <w:sz w:val="16"/>
                <w:szCs w:val="16"/>
              </w:rPr>
              <w:t>sonas. Si la proba</w:t>
            </w:r>
            <w:r w:rsidRPr="00123569">
              <w:rPr>
                <w:rFonts w:ascii="Arial" w:hAnsi="Arial" w:cs="Arial"/>
                <w:sz w:val="16"/>
                <w:szCs w:val="16"/>
              </w:rPr>
              <w:t>bilidad de contratación estable aumenta con la escolaridad, ello daría cuenta de cierta coherencia entre la escolarización y las expectativas sociales e individuales que consideran la educación como un recurso para acceder a mejores cond</w:t>
            </w:r>
            <w:r w:rsidR="00E37A55" w:rsidRPr="00123569">
              <w:rPr>
                <w:rFonts w:ascii="Arial" w:hAnsi="Arial" w:cs="Arial"/>
                <w:sz w:val="16"/>
                <w:szCs w:val="16"/>
              </w:rPr>
              <w:t>i</w:t>
            </w:r>
            <w:r w:rsidRPr="00123569">
              <w:rPr>
                <w:rFonts w:ascii="Arial" w:hAnsi="Arial" w:cs="Arial"/>
                <w:sz w:val="16"/>
                <w:szCs w:val="16"/>
              </w:rPr>
              <w:t>ciones de vida, en general, y de trabajo, en particular.</w:t>
            </w:r>
          </w:p>
        </w:tc>
      </w:tr>
      <w:tr w:rsidR="00E6098D" w:rsidRPr="00F4237E" w:rsidTr="00E6098D">
        <w:trPr>
          <w:trHeight w:val="3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85" w:type="dxa"/>
              <w:right w:w="57" w:type="dxa"/>
            </w:tcMar>
          </w:tcPr>
          <w:p w:rsidR="00E6098D" w:rsidRPr="00F4237E" w:rsidRDefault="00E6098D" w:rsidP="00E6098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4237E">
              <w:rPr>
                <w:rFonts w:ascii="Arial" w:hAnsi="Arial" w:cs="Arial"/>
                <w:b/>
                <w:sz w:val="16"/>
                <w:szCs w:val="16"/>
              </w:rPr>
              <w:t>Ofrece elementos para evaluar las siguientes di</w:t>
            </w:r>
            <w:r w:rsidR="00B93FE7" w:rsidRPr="00F4237E">
              <w:rPr>
                <w:rFonts w:ascii="Arial" w:hAnsi="Arial" w:cs="Arial"/>
                <w:b/>
                <w:sz w:val="16"/>
                <w:szCs w:val="16"/>
              </w:rPr>
              <w:t xml:space="preserve">mensiones de </w:t>
            </w:r>
            <w:r w:rsidR="002774BC">
              <w:rPr>
                <w:rFonts w:ascii="Arial" w:hAnsi="Arial" w:cs="Arial"/>
                <w:b/>
                <w:sz w:val="16"/>
                <w:szCs w:val="16"/>
              </w:rPr>
              <w:t xml:space="preserve">la </w:t>
            </w:r>
            <w:r w:rsidR="00B93FE7" w:rsidRPr="00F4237E">
              <w:rPr>
                <w:rFonts w:ascii="Arial" w:hAnsi="Arial" w:cs="Arial"/>
                <w:b/>
                <w:sz w:val="16"/>
                <w:szCs w:val="16"/>
              </w:rPr>
              <w:t>calidad educativa</w:t>
            </w:r>
          </w:p>
          <w:p w:rsidR="00E6098D" w:rsidRPr="00F4237E" w:rsidRDefault="00E6098D" w:rsidP="00E6098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4237E">
              <w:rPr>
                <w:rFonts w:ascii="Arial" w:hAnsi="Arial" w:cs="Arial"/>
                <w:sz w:val="16"/>
                <w:szCs w:val="16"/>
              </w:rPr>
              <w:t>Impacto, pertinencia y relevancia de la educación</w:t>
            </w:r>
          </w:p>
        </w:tc>
      </w:tr>
      <w:tr w:rsidR="00E6098D" w:rsidRPr="00F4237E" w:rsidTr="0031241B">
        <w:trPr>
          <w:trHeight w:val="31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85" w:type="dxa"/>
              <w:right w:w="57" w:type="dxa"/>
            </w:tcMar>
          </w:tcPr>
          <w:p w:rsidR="00E6098D" w:rsidRPr="00F4237E" w:rsidRDefault="00EB0086" w:rsidP="00E609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4237E">
              <w:rPr>
                <w:rFonts w:ascii="Arial" w:hAnsi="Arial" w:cs="Arial"/>
                <w:b/>
                <w:sz w:val="16"/>
                <w:szCs w:val="16"/>
              </w:rPr>
              <w:t>Desagregación</w:t>
            </w:r>
          </w:p>
          <w:p w:rsidR="00EC3C30" w:rsidRPr="00D9078D" w:rsidRDefault="00391179" w:rsidP="00EC3C30">
            <w:pPr>
              <w:ind w:right="108"/>
              <w:rPr>
                <w:rFonts w:ascii="Arial" w:hAnsi="Arial" w:cs="Arial"/>
                <w:sz w:val="16"/>
                <w:szCs w:val="16"/>
              </w:rPr>
            </w:pPr>
            <w:r w:rsidRPr="00F4237E">
              <w:rPr>
                <w:rFonts w:ascii="Arial" w:hAnsi="Arial" w:cs="Arial"/>
                <w:sz w:val="16"/>
                <w:szCs w:val="16"/>
              </w:rPr>
              <w:t xml:space="preserve">Este indicador se presenta en las siguientes desagregaciones: </w:t>
            </w:r>
            <w:r w:rsidRPr="00D9078D">
              <w:rPr>
                <w:rFonts w:ascii="Arial" w:hAnsi="Arial" w:cs="Arial"/>
                <w:sz w:val="16"/>
                <w:szCs w:val="16"/>
              </w:rPr>
              <w:t>e</w:t>
            </w:r>
            <w:r w:rsidR="00EC3C30" w:rsidRPr="00D9078D">
              <w:rPr>
                <w:rFonts w:ascii="Arial" w:hAnsi="Arial" w:cs="Arial"/>
                <w:sz w:val="16"/>
                <w:szCs w:val="16"/>
              </w:rPr>
              <w:t>ntidad federativa, sexo, tamaño de localidad</w:t>
            </w:r>
            <w:r w:rsidR="00323369" w:rsidRPr="00D9078D">
              <w:rPr>
                <w:rFonts w:ascii="Arial (W1)" w:hAnsi="Arial (W1)" w:cs="Arial"/>
                <w:sz w:val="16"/>
                <w:szCs w:val="16"/>
                <w:vertAlign w:val="superscript"/>
              </w:rPr>
              <w:t>3</w:t>
            </w:r>
            <w:r w:rsidR="00EC3C30" w:rsidRPr="00D9078D">
              <w:rPr>
                <w:rFonts w:ascii="Arial" w:hAnsi="Arial" w:cs="Arial"/>
                <w:sz w:val="16"/>
                <w:szCs w:val="16"/>
              </w:rPr>
              <w:t xml:space="preserve"> y subgrupos de edad (</w:t>
            </w:r>
            <w:r w:rsidR="00146453" w:rsidRPr="00D9078D">
              <w:rPr>
                <w:rFonts w:ascii="Arial" w:hAnsi="Arial" w:cs="Arial"/>
                <w:sz w:val="16"/>
                <w:szCs w:val="16"/>
              </w:rPr>
              <w:t>jóvenes de</w:t>
            </w:r>
            <w:r w:rsidR="002774BC" w:rsidRPr="00D9078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46453" w:rsidRPr="00D9078D">
              <w:rPr>
                <w:rFonts w:ascii="Arial" w:hAnsi="Arial" w:cs="Arial"/>
                <w:sz w:val="16"/>
                <w:szCs w:val="16"/>
              </w:rPr>
              <w:t>15 a 19, 20 a 24 y 25 a 29 años</w:t>
            </w:r>
            <w:r w:rsidR="00516364">
              <w:rPr>
                <w:rFonts w:ascii="Arial" w:hAnsi="Arial" w:cs="Arial"/>
                <w:sz w:val="16"/>
                <w:szCs w:val="16"/>
              </w:rPr>
              <w:t>,</w:t>
            </w:r>
            <w:r w:rsidR="00E55633" w:rsidRPr="00D9078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61E94" w:rsidRPr="00D9078D">
              <w:rPr>
                <w:rFonts w:ascii="Arial" w:hAnsi="Arial" w:cs="Arial"/>
                <w:sz w:val="16"/>
                <w:szCs w:val="16"/>
              </w:rPr>
              <w:t xml:space="preserve">y </w:t>
            </w:r>
            <w:r w:rsidR="00EC3C30" w:rsidRPr="00D9078D">
              <w:rPr>
                <w:rFonts w:ascii="Arial" w:hAnsi="Arial" w:cs="Arial"/>
                <w:sz w:val="16"/>
                <w:szCs w:val="16"/>
              </w:rPr>
              <w:t xml:space="preserve">adultos de </w:t>
            </w:r>
            <w:smartTag w:uri="urn:schemas-microsoft-com:office:smarttags" w:element="metricconverter">
              <w:smartTagPr>
                <w:attr w:name="ProductID" w:val="25 a"/>
              </w:smartTagPr>
              <w:r w:rsidR="00EC3C30" w:rsidRPr="00D9078D">
                <w:rPr>
                  <w:rFonts w:ascii="Arial" w:hAnsi="Arial" w:cs="Arial"/>
                  <w:sz w:val="16"/>
                  <w:szCs w:val="16"/>
                </w:rPr>
                <w:t>25 a</w:t>
              </w:r>
            </w:smartTag>
            <w:r w:rsidR="00EC3C30" w:rsidRPr="00D9078D">
              <w:rPr>
                <w:rFonts w:ascii="Arial" w:hAnsi="Arial" w:cs="Arial"/>
                <w:sz w:val="16"/>
                <w:szCs w:val="16"/>
              </w:rPr>
              <w:t xml:space="preserve"> 44 y </w:t>
            </w:r>
            <w:smartTag w:uri="urn:schemas-microsoft-com:office:smarttags" w:element="metricconverter">
              <w:smartTagPr>
                <w:attr w:name="ProductID" w:val="45 a"/>
              </w:smartTagPr>
              <w:r w:rsidR="00EC3C30" w:rsidRPr="00D9078D">
                <w:rPr>
                  <w:rFonts w:ascii="Arial" w:hAnsi="Arial" w:cs="Arial"/>
                  <w:sz w:val="16"/>
                  <w:szCs w:val="16"/>
                </w:rPr>
                <w:t>45 a</w:t>
              </w:r>
            </w:smartTag>
            <w:r w:rsidR="00EC3C30" w:rsidRPr="00D9078D">
              <w:rPr>
                <w:rFonts w:ascii="Arial" w:hAnsi="Arial" w:cs="Arial"/>
                <w:sz w:val="16"/>
                <w:szCs w:val="16"/>
              </w:rPr>
              <w:t xml:space="preserve"> 64 años).</w:t>
            </w:r>
          </w:p>
          <w:p w:rsidR="004E4A70" w:rsidRPr="00D9078D" w:rsidRDefault="004E4A70" w:rsidP="00391179">
            <w:pPr>
              <w:ind w:right="-68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E4A70" w:rsidRPr="004B5B75" w:rsidRDefault="004E4A70" w:rsidP="004B5B75">
            <w:pPr>
              <w:pStyle w:val="Prrafodelista"/>
              <w:numPr>
                <w:ilvl w:val="0"/>
                <w:numId w:val="1"/>
              </w:numPr>
              <w:ind w:left="227" w:hanging="22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5B75">
              <w:rPr>
                <w:rFonts w:ascii="Arial" w:hAnsi="Arial" w:cs="Arial"/>
                <w:b/>
                <w:sz w:val="16"/>
                <w:szCs w:val="16"/>
              </w:rPr>
              <w:t>M</w:t>
            </w:r>
            <w:r w:rsidR="00391179" w:rsidRPr="004B5B75">
              <w:rPr>
                <w:rFonts w:ascii="Arial" w:hAnsi="Arial" w:cs="Arial"/>
                <w:b/>
                <w:sz w:val="16"/>
                <w:szCs w:val="16"/>
              </w:rPr>
              <w:t xml:space="preserve">áximo </w:t>
            </w:r>
            <w:r w:rsidR="00090D12" w:rsidRPr="004B5B75">
              <w:rPr>
                <w:rFonts w:ascii="Arial" w:hAnsi="Arial" w:cs="Arial"/>
                <w:b/>
                <w:sz w:val="16"/>
                <w:szCs w:val="16"/>
              </w:rPr>
              <w:t>nivel</w:t>
            </w:r>
            <w:r w:rsidR="00391179" w:rsidRPr="004B5B75">
              <w:rPr>
                <w:rFonts w:ascii="Arial" w:hAnsi="Arial" w:cs="Arial"/>
                <w:b/>
                <w:sz w:val="16"/>
                <w:szCs w:val="16"/>
              </w:rPr>
              <w:t xml:space="preserve"> de desagregación</w:t>
            </w:r>
          </w:p>
          <w:p w:rsidR="00115FC3" w:rsidRDefault="00115FC3" w:rsidP="00115FC3">
            <w:pPr>
              <w:ind w:right="-6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9078D">
              <w:rPr>
                <w:rFonts w:ascii="Arial" w:hAnsi="Arial" w:cs="Arial"/>
                <w:sz w:val="16"/>
                <w:szCs w:val="16"/>
              </w:rPr>
              <w:t xml:space="preserve">Entidad federativa, 32 ciudades </w:t>
            </w:r>
            <w:r w:rsidRPr="00D9078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auto</w:t>
            </w:r>
            <w:r w:rsidR="009F070C" w:rsidRPr="00D9078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r</w:t>
            </w:r>
            <w:r w:rsidRPr="00D9078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representadas de 100 000 habitantes</w:t>
            </w:r>
            <w:r w:rsidRPr="00F4237E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o más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.</w:t>
            </w:r>
            <w:r w:rsidRPr="00F4237E">
              <w:rPr>
                <w:rFonts w:ascii="Arial" w:hAnsi="Arial" w:cs="Arial"/>
                <w:sz w:val="16"/>
                <w:szCs w:val="16"/>
                <w:shd w:val="clear" w:color="auto" w:fill="FFFFFF"/>
                <w:vertAlign w:val="superscript"/>
              </w:rPr>
              <w:t>4</w:t>
            </w:r>
          </w:p>
          <w:p w:rsidR="00391179" w:rsidRPr="00F4237E" w:rsidRDefault="004E4A70" w:rsidP="00391179">
            <w:pPr>
              <w:ind w:right="-68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="00391179" w:rsidRPr="00F4237E">
              <w:rPr>
                <w:rFonts w:ascii="Arial" w:hAnsi="Arial" w:cs="Arial"/>
                <w:sz w:val="16"/>
                <w:szCs w:val="16"/>
              </w:rPr>
              <w:t>ocalidades de 100 000 y más habitantes, de 15 000 a 99 999 habitantes, de 2 500 a 14 999 habitantes y de menos de 2 500 habitantes.</w:t>
            </w:r>
          </w:p>
          <w:p w:rsidR="00463699" w:rsidRDefault="00463699" w:rsidP="008B09DD">
            <w:pPr>
              <w:ind w:right="-6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6098D" w:rsidRPr="00F4237E" w:rsidRDefault="00E6098D" w:rsidP="008B09DD">
            <w:pPr>
              <w:ind w:right="-6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4237E">
              <w:rPr>
                <w:rFonts w:ascii="Arial" w:hAnsi="Arial" w:cs="Arial"/>
                <w:b/>
                <w:sz w:val="16"/>
                <w:szCs w:val="16"/>
              </w:rPr>
              <w:t>Fuente</w:t>
            </w:r>
            <w:r w:rsidR="009807C0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F4237E">
              <w:rPr>
                <w:rFonts w:ascii="Arial" w:hAnsi="Arial" w:cs="Arial"/>
                <w:b/>
                <w:sz w:val="16"/>
                <w:szCs w:val="16"/>
              </w:rPr>
              <w:t xml:space="preserve"> de información</w:t>
            </w:r>
          </w:p>
          <w:p w:rsidR="00594676" w:rsidRPr="002F579F" w:rsidRDefault="00594676" w:rsidP="00594676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i/>
                <w:sz w:val="16"/>
                <w:szCs w:val="16"/>
              </w:rPr>
            </w:pPr>
            <w:r w:rsidRPr="004B5B75">
              <w:rPr>
                <w:rFonts w:cs="Arial"/>
                <w:caps/>
                <w:sz w:val="16"/>
                <w:szCs w:val="16"/>
              </w:rPr>
              <w:t>Inegi</w:t>
            </w:r>
            <w:r w:rsidRPr="00A72DA6">
              <w:rPr>
                <w:rFonts w:cs="Arial"/>
                <w:sz w:val="16"/>
                <w:szCs w:val="16"/>
              </w:rPr>
              <w:t xml:space="preserve"> (2013). Encuesta Nacional de Ocupación y Empleo</w:t>
            </w:r>
            <w:r w:rsidRPr="00594676">
              <w:rPr>
                <w:rFonts w:cs="Arial"/>
                <w:sz w:val="16"/>
                <w:szCs w:val="16"/>
              </w:rPr>
              <w:t>, 2º trimestre</w:t>
            </w:r>
            <w:r>
              <w:rPr>
                <w:rFonts w:cs="Arial"/>
                <w:sz w:val="16"/>
                <w:szCs w:val="16"/>
              </w:rPr>
              <w:t xml:space="preserve"> de 2013</w:t>
            </w:r>
            <w:r w:rsidRPr="009D0DAC">
              <w:rPr>
                <w:rFonts w:cs="Arial"/>
                <w:sz w:val="16"/>
                <w:szCs w:val="16"/>
              </w:rPr>
              <w:t xml:space="preserve"> </w:t>
            </w:r>
            <w:r w:rsidRPr="002F579F">
              <w:rPr>
                <w:rFonts w:cs="Arial"/>
                <w:sz w:val="16"/>
                <w:szCs w:val="16"/>
              </w:rPr>
              <w:t>(base de microdatos).</w:t>
            </w:r>
          </w:p>
          <w:p w:rsidR="005906DF" w:rsidRPr="00594676" w:rsidRDefault="00594676" w:rsidP="005906DF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sz w:val="16"/>
                <w:szCs w:val="16"/>
              </w:rPr>
            </w:pPr>
            <w:r w:rsidRPr="0053176E">
              <w:rPr>
                <w:rFonts w:cs="Arial"/>
                <w:caps/>
                <w:sz w:val="16"/>
                <w:szCs w:val="16"/>
              </w:rPr>
              <w:t>Inegi</w:t>
            </w:r>
            <w:r w:rsidR="00C81E1E">
              <w:rPr>
                <w:rFonts w:cs="Arial"/>
                <w:sz w:val="16"/>
                <w:szCs w:val="16"/>
              </w:rPr>
              <w:t xml:space="preserve"> (2018</w:t>
            </w:r>
            <w:r>
              <w:rPr>
                <w:rFonts w:cs="Arial"/>
                <w:sz w:val="16"/>
                <w:szCs w:val="16"/>
              </w:rPr>
              <w:t>a</w:t>
            </w:r>
            <w:r w:rsidR="005906DF" w:rsidRPr="002F579F">
              <w:rPr>
                <w:rFonts w:cs="Arial"/>
                <w:sz w:val="16"/>
                <w:szCs w:val="16"/>
              </w:rPr>
              <w:t xml:space="preserve">). </w:t>
            </w:r>
            <w:r w:rsidR="005906DF" w:rsidRPr="004B5B75">
              <w:rPr>
                <w:rFonts w:cs="Arial"/>
                <w:sz w:val="16"/>
                <w:szCs w:val="16"/>
              </w:rPr>
              <w:t>Encuesta Nacional de Ocupación y Empleo</w:t>
            </w:r>
            <w:r w:rsidR="00C81E1E" w:rsidRPr="00594676">
              <w:rPr>
                <w:rFonts w:cs="Arial"/>
                <w:sz w:val="16"/>
                <w:szCs w:val="16"/>
              </w:rPr>
              <w:t>, 2º trimestre de 2018</w:t>
            </w:r>
            <w:r w:rsidR="005906DF" w:rsidRPr="00594676">
              <w:rPr>
                <w:rFonts w:cs="Arial"/>
                <w:sz w:val="16"/>
                <w:szCs w:val="16"/>
              </w:rPr>
              <w:t xml:space="preserve"> (base de </w:t>
            </w:r>
            <w:proofErr w:type="spellStart"/>
            <w:r w:rsidR="005906DF" w:rsidRPr="00594676">
              <w:rPr>
                <w:rFonts w:cs="Arial"/>
                <w:sz w:val="16"/>
                <w:szCs w:val="16"/>
              </w:rPr>
              <w:t>microdatos</w:t>
            </w:r>
            <w:proofErr w:type="spellEnd"/>
            <w:r w:rsidR="005906DF" w:rsidRPr="00594676">
              <w:rPr>
                <w:rFonts w:cs="Arial"/>
                <w:sz w:val="16"/>
                <w:szCs w:val="16"/>
              </w:rPr>
              <w:t>).</w:t>
            </w:r>
          </w:p>
          <w:p w:rsidR="00B02372" w:rsidRPr="002F579F" w:rsidRDefault="00B02372" w:rsidP="005906DF">
            <w:pPr>
              <w:pStyle w:val="Encabezado"/>
              <w:tabs>
                <w:tab w:val="left" w:pos="4500"/>
                <w:tab w:val="left" w:pos="4680"/>
              </w:tabs>
              <w:ind w:right="113"/>
              <w:jc w:val="both"/>
              <w:rPr>
                <w:rFonts w:cs="Arial"/>
                <w:i/>
                <w:sz w:val="16"/>
                <w:szCs w:val="16"/>
              </w:rPr>
            </w:pPr>
          </w:p>
          <w:p w:rsidR="00E6098D" w:rsidRPr="00F4237E" w:rsidRDefault="00E6098D" w:rsidP="00E6098D">
            <w:pPr>
              <w:pStyle w:val="Encabezado"/>
              <w:tabs>
                <w:tab w:val="left" w:pos="4500"/>
                <w:tab w:val="left" w:pos="4680"/>
              </w:tabs>
              <w:spacing w:before="120"/>
              <w:ind w:right="113"/>
              <w:jc w:val="both"/>
              <w:rPr>
                <w:rFonts w:cs="Arial"/>
                <w:sz w:val="16"/>
                <w:szCs w:val="16"/>
              </w:rPr>
            </w:pPr>
            <w:r w:rsidRPr="00F4237E">
              <w:rPr>
                <w:rFonts w:cs="Arial"/>
                <w:b/>
                <w:sz w:val="16"/>
                <w:szCs w:val="16"/>
              </w:rPr>
              <w:t>Notas</w:t>
            </w:r>
          </w:p>
          <w:p w:rsidR="00E6098D" w:rsidRPr="00F4237E" w:rsidRDefault="00E6098D" w:rsidP="00E6098D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F4237E">
              <w:rPr>
                <w:rFonts w:ascii="Arial" w:hAnsi="Arial" w:cs="Arial"/>
                <w:sz w:val="12"/>
                <w:szCs w:val="12"/>
                <w:vertAlign w:val="superscript"/>
              </w:rPr>
              <w:t>1</w:t>
            </w:r>
            <w:r w:rsidR="00234B4A" w:rsidRPr="00F4237E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</w:t>
            </w:r>
            <w:r w:rsidR="00234B4A" w:rsidRPr="00F4237E">
              <w:rPr>
                <w:rFonts w:ascii="Arial" w:hAnsi="Arial" w:cs="Arial"/>
                <w:sz w:val="12"/>
                <w:szCs w:val="12"/>
              </w:rPr>
              <w:t xml:space="preserve">Se considera que la población ocupada es subordinada remunerada </w:t>
            </w:r>
            <w:r w:rsidR="00234B4A" w:rsidRPr="00D9078D">
              <w:rPr>
                <w:rFonts w:ascii="Arial" w:hAnsi="Arial" w:cs="Arial"/>
                <w:sz w:val="12"/>
                <w:szCs w:val="12"/>
              </w:rPr>
              <w:t xml:space="preserve">si trabaja </w:t>
            </w:r>
            <w:r w:rsidR="00D9078D" w:rsidRPr="00D9078D">
              <w:rPr>
                <w:rFonts w:ascii="Arial" w:hAnsi="Arial" w:cs="Arial"/>
                <w:sz w:val="12"/>
                <w:szCs w:val="12"/>
              </w:rPr>
              <w:t>y recibe</w:t>
            </w:r>
            <w:r w:rsidR="00234B4A" w:rsidRPr="00D9078D">
              <w:rPr>
                <w:rFonts w:ascii="Arial" w:hAnsi="Arial" w:cs="Arial"/>
                <w:sz w:val="12"/>
                <w:szCs w:val="12"/>
              </w:rPr>
              <w:t xml:space="preserve"> un pago</w:t>
            </w:r>
            <w:r w:rsidR="00234B4A" w:rsidRPr="00F4237E">
              <w:rPr>
                <w:rFonts w:ascii="Arial" w:hAnsi="Arial" w:cs="Arial"/>
                <w:sz w:val="12"/>
                <w:szCs w:val="12"/>
              </w:rPr>
              <w:t xml:space="preserve"> por parte de la unidad económica en la que depende de un patrón, jefe o supervisor.</w:t>
            </w:r>
          </w:p>
          <w:p w:rsidR="00475A5F" w:rsidRPr="00D9078D" w:rsidRDefault="00475A5F" w:rsidP="00475A5F">
            <w:pPr>
              <w:pStyle w:val="HTMLconformatoprevio"/>
              <w:jc w:val="both"/>
            </w:pPr>
            <w:r w:rsidRPr="00F4237E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2 </w:t>
            </w:r>
            <w:r w:rsidRPr="00F4237E">
              <w:rPr>
                <w:rFonts w:ascii="Arial" w:hAnsi="Arial" w:cs="Arial"/>
                <w:sz w:val="12"/>
                <w:szCs w:val="12"/>
              </w:rPr>
              <w:t xml:space="preserve">Los </w:t>
            </w:r>
            <w:r w:rsidRPr="00F4237E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niveles de escolaridad incluyen a </w:t>
            </w:r>
            <w:r w:rsidRPr="00D9078D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quienes tienen estudios formales como sigue: </w:t>
            </w:r>
            <w:r w:rsidRPr="00D9078D">
              <w:rPr>
                <w:rFonts w:ascii="Arial" w:hAnsi="Arial" w:cs="Arial"/>
                <w:i/>
                <w:sz w:val="12"/>
                <w:szCs w:val="12"/>
                <w:lang w:val="es-ES" w:eastAsia="es-ES"/>
              </w:rPr>
              <w:t>sin básica</w:t>
            </w:r>
            <w:r w:rsidRPr="00D9078D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 (sin escolaridad, preescolar, primaria incompleta y grado no específico, secundaria incompleta y grado no específico, normal o carrera técnica comercial con antecedente de primaria y grados 1-2 y no especificados</w:t>
            </w:r>
            <w:r w:rsidR="00C41BFD" w:rsidRPr="00D9078D">
              <w:rPr>
                <w:rFonts w:ascii="Arial" w:hAnsi="Arial" w:cs="Arial"/>
                <w:sz w:val="12"/>
                <w:szCs w:val="12"/>
                <w:lang w:val="es-ES" w:eastAsia="es-ES"/>
              </w:rPr>
              <w:t>)</w:t>
            </w:r>
            <w:r w:rsidRPr="00D9078D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; </w:t>
            </w:r>
            <w:r w:rsidRPr="00D9078D">
              <w:rPr>
                <w:rFonts w:ascii="Arial" w:hAnsi="Arial" w:cs="Arial"/>
                <w:i/>
                <w:sz w:val="12"/>
                <w:szCs w:val="12"/>
                <w:lang w:val="es-ES" w:eastAsia="es-ES"/>
              </w:rPr>
              <w:t xml:space="preserve">básica </w:t>
            </w:r>
            <w:r w:rsidR="00C41BFD" w:rsidRPr="00D9078D">
              <w:rPr>
                <w:rFonts w:ascii="Arial" w:hAnsi="Arial" w:cs="Arial"/>
                <w:sz w:val="12"/>
                <w:szCs w:val="12"/>
                <w:lang w:val="es-ES" w:eastAsia="es-ES"/>
              </w:rPr>
              <w:t>(</w:t>
            </w:r>
            <w:r w:rsidRPr="00D9078D">
              <w:rPr>
                <w:rFonts w:ascii="Arial" w:hAnsi="Arial" w:cs="Arial"/>
                <w:sz w:val="12"/>
                <w:szCs w:val="12"/>
                <w:lang w:val="es-ES" w:eastAsia="es-ES"/>
              </w:rPr>
              <w:t>secundaria completa, bachillerato incompleto y grado no específico, normal o técnica comercial con antecedente de secundaria con grados 1-2 y no especificados, técnico comercial con antecedente primaria y 3 o más grados</w:t>
            </w:r>
            <w:r w:rsidR="00C41BFD" w:rsidRPr="00D9078D">
              <w:rPr>
                <w:rFonts w:ascii="Arial" w:hAnsi="Arial" w:cs="Arial"/>
                <w:sz w:val="12"/>
                <w:szCs w:val="12"/>
                <w:lang w:val="es-ES" w:eastAsia="es-ES"/>
              </w:rPr>
              <w:t>)</w:t>
            </w:r>
            <w:r w:rsidRPr="00D9078D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; </w:t>
            </w:r>
            <w:r w:rsidRPr="00D9078D">
              <w:rPr>
                <w:rFonts w:ascii="Arial" w:hAnsi="Arial" w:cs="Arial"/>
                <w:i/>
                <w:sz w:val="12"/>
                <w:szCs w:val="12"/>
                <w:lang w:val="es-ES" w:eastAsia="es-ES"/>
              </w:rPr>
              <w:t xml:space="preserve">media superior </w:t>
            </w:r>
            <w:r w:rsidRPr="00D9078D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(bachillerato completo, licenciatura incompleta y grado no específico, técnico comercial con antecedente bachillerato y grados 1-2 y no especificados, normal con antecedente primaria y 3 o más grados, normal con antecedente de secundaria y 3 o más grados, normal con antecedente de bachillerato y 1 a 3 grados, técnico comercial con antecedente de secundaria y 3 o más con grados); </w:t>
            </w:r>
            <w:r w:rsidRPr="00D9078D">
              <w:rPr>
                <w:rFonts w:ascii="Arial" w:hAnsi="Arial" w:cs="Arial"/>
                <w:i/>
                <w:sz w:val="12"/>
                <w:szCs w:val="12"/>
                <w:lang w:val="es-ES" w:eastAsia="es-ES"/>
              </w:rPr>
              <w:t xml:space="preserve">superior </w:t>
            </w:r>
            <w:r w:rsidRPr="00D9078D">
              <w:rPr>
                <w:rFonts w:ascii="Arial" w:hAnsi="Arial" w:cs="Arial"/>
                <w:sz w:val="12"/>
                <w:szCs w:val="12"/>
                <w:lang w:val="es-ES" w:eastAsia="es-ES"/>
              </w:rPr>
              <w:t>(técnico comercial con an</w:t>
            </w:r>
            <w:r w:rsidR="00287ABB" w:rsidRPr="00D9078D">
              <w:rPr>
                <w:rFonts w:ascii="Arial" w:hAnsi="Arial" w:cs="Arial"/>
                <w:sz w:val="12"/>
                <w:szCs w:val="12"/>
                <w:lang w:val="es-ES" w:eastAsia="es-ES"/>
              </w:rPr>
              <w:t>tecedente bachillerato y 3 o más</w:t>
            </w:r>
            <w:r w:rsidRPr="00D9078D">
              <w:rPr>
                <w:rFonts w:ascii="Arial" w:hAnsi="Arial" w:cs="Arial"/>
                <w:sz w:val="12"/>
                <w:szCs w:val="12"/>
                <w:lang w:val="es-ES" w:eastAsia="es-ES"/>
              </w:rPr>
              <w:t xml:space="preserve"> grados, normal con antecedente bachillerato y 4 o más grados, licenciatura completa, maestría y doctorado incompleto y completo).</w:t>
            </w:r>
          </w:p>
          <w:p w:rsidR="00323369" w:rsidRPr="00F4237E" w:rsidRDefault="00475A5F" w:rsidP="00475A5F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2"/>
                <w:szCs w:val="12"/>
                <w:shd w:val="clear" w:color="auto" w:fill="FFFFFF"/>
              </w:rPr>
            </w:pPr>
            <w:r w:rsidRPr="00D9078D">
              <w:rPr>
                <w:rFonts w:ascii="Arial (W1)" w:hAnsi="Arial (W1)" w:cs="Arial"/>
                <w:sz w:val="12"/>
                <w:szCs w:val="12"/>
                <w:shd w:val="clear" w:color="auto" w:fill="FFFFFF"/>
                <w:vertAlign w:val="superscript"/>
              </w:rPr>
              <w:t>3</w:t>
            </w:r>
            <w:r w:rsidRPr="00D9078D">
              <w:rPr>
                <w:rFonts w:cs="Arial"/>
                <w:sz w:val="12"/>
                <w:szCs w:val="12"/>
                <w:shd w:val="clear" w:color="auto" w:fill="FFFFFF"/>
              </w:rPr>
              <w:t xml:space="preserve"> El tamaño de localidad urbana incluye localidades de 15 </w:t>
            </w:r>
            <w:r w:rsidR="00200A3C" w:rsidRPr="00D9078D">
              <w:rPr>
                <w:rFonts w:cs="Arial"/>
                <w:sz w:val="12"/>
                <w:szCs w:val="12"/>
                <w:shd w:val="clear" w:color="auto" w:fill="FFFFFF"/>
              </w:rPr>
              <w:t>000</w:t>
            </w:r>
            <w:r w:rsidRPr="00D9078D">
              <w:rPr>
                <w:rFonts w:cs="Arial"/>
                <w:sz w:val="12"/>
                <w:szCs w:val="12"/>
                <w:shd w:val="clear" w:color="auto" w:fill="FFFFFF"/>
              </w:rPr>
              <w:t xml:space="preserve"> o más habitantes; semiurbana, localidades entre 2 500 y menos de 15 </w:t>
            </w:r>
            <w:r w:rsidR="00200A3C" w:rsidRPr="00D9078D">
              <w:rPr>
                <w:rFonts w:cs="Arial"/>
                <w:sz w:val="12"/>
                <w:szCs w:val="12"/>
                <w:shd w:val="clear" w:color="auto" w:fill="FFFFFF"/>
              </w:rPr>
              <w:t>000</w:t>
            </w:r>
            <w:r w:rsidRPr="00D9078D">
              <w:rPr>
                <w:rFonts w:cs="Arial"/>
                <w:sz w:val="12"/>
                <w:szCs w:val="12"/>
                <w:shd w:val="clear" w:color="auto" w:fill="FFFFFF"/>
              </w:rPr>
              <w:t xml:space="preserve"> habitantes; rural, localidades con menos de 2 500 habitantes.</w:t>
            </w:r>
          </w:p>
          <w:p w:rsidR="00CB2D33" w:rsidRPr="00F4237E" w:rsidRDefault="00CB2D33" w:rsidP="00A720D9">
            <w:pPr>
              <w:pStyle w:val="Encabezado"/>
              <w:tabs>
                <w:tab w:val="left" w:pos="4500"/>
                <w:tab w:val="left" w:pos="4680"/>
              </w:tabs>
              <w:jc w:val="both"/>
              <w:rPr>
                <w:rFonts w:cs="Arial"/>
                <w:sz w:val="16"/>
                <w:szCs w:val="16"/>
              </w:rPr>
            </w:pPr>
            <w:r w:rsidRPr="00F4237E">
              <w:rPr>
                <w:rFonts w:cs="Arial"/>
                <w:sz w:val="12"/>
                <w:szCs w:val="12"/>
                <w:vertAlign w:val="superscript"/>
              </w:rPr>
              <w:t xml:space="preserve">4 </w:t>
            </w:r>
            <w:r w:rsidRPr="00F4237E">
              <w:rPr>
                <w:rFonts w:cs="Arial"/>
                <w:sz w:val="12"/>
                <w:szCs w:val="12"/>
              </w:rPr>
              <w:t xml:space="preserve">El listado de ciudades se encuentra en el documento </w:t>
            </w:r>
            <w:r w:rsidRPr="00F4237E">
              <w:rPr>
                <w:rFonts w:cs="Arial"/>
                <w:i/>
                <w:sz w:val="12"/>
                <w:szCs w:val="12"/>
              </w:rPr>
              <w:t xml:space="preserve">Cómo se hace la ENOE: Métodos y </w:t>
            </w:r>
            <w:r w:rsidR="00A720D9">
              <w:rPr>
                <w:rFonts w:cs="Arial"/>
                <w:i/>
                <w:sz w:val="12"/>
                <w:szCs w:val="12"/>
              </w:rPr>
              <w:t>p</w:t>
            </w:r>
            <w:r w:rsidRPr="00F4237E">
              <w:rPr>
                <w:rFonts w:cs="Arial"/>
                <w:i/>
                <w:sz w:val="12"/>
                <w:szCs w:val="12"/>
              </w:rPr>
              <w:t>rocedimientos</w:t>
            </w:r>
            <w:r w:rsidR="00E0698D">
              <w:rPr>
                <w:rFonts w:cs="Arial"/>
                <w:sz w:val="12"/>
                <w:szCs w:val="12"/>
              </w:rPr>
              <w:t xml:space="preserve"> (</w:t>
            </w:r>
            <w:r w:rsidR="00E0698D" w:rsidRPr="004B5B75">
              <w:rPr>
                <w:rFonts w:cs="Arial"/>
                <w:caps/>
                <w:sz w:val="12"/>
                <w:szCs w:val="12"/>
              </w:rPr>
              <w:t>Inegi</w:t>
            </w:r>
            <w:r w:rsidR="00E0698D">
              <w:rPr>
                <w:rFonts w:cs="Arial"/>
                <w:sz w:val="12"/>
                <w:szCs w:val="12"/>
              </w:rPr>
              <w:t>, 2007)</w:t>
            </w:r>
            <w:r w:rsidR="00463699">
              <w:rPr>
                <w:rFonts w:cs="Arial"/>
                <w:sz w:val="12"/>
                <w:szCs w:val="12"/>
              </w:rPr>
              <w:t>.</w:t>
            </w:r>
          </w:p>
        </w:tc>
      </w:tr>
    </w:tbl>
    <w:p w:rsidR="00E6098D" w:rsidRPr="00F4237E" w:rsidRDefault="00E6098D" w:rsidP="00E6098D">
      <w:pPr>
        <w:rPr>
          <w:rFonts w:ascii="Arial" w:hAnsi="Arial" w:cs="Arial"/>
          <w:sz w:val="16"/>
          <w:szCs w:val="16"/>
        </w:rPr>
      </w:pPr>
    </w:p>
    <w:p w:rsidR="00E6098D" w:rsidRPr="00F4237E" w:rsidRDefault="00E6098D" w:rsidP="00E6098D">
      <w:pPr>
        <w:rPr>
          <w:rFonts w:ascii="Arial" w:hAnsi="Arial" w:cs="Arial"/>
          <w:sz w:val="16"/>
          <w:szCs w:val="16"/>
        </w:rPr>
      </w:pPr>
    </w:p>
    <w:p w:rsidR="00E6098D" w:rsidRPr="00F4237E" w:rsidRDefault="00E6098D" w:rsidP="00E6098D">
      <w:pPr>
        <w:rPr>
          <w:rFonts w:ascii="Arial" w:hAnsi="Arial" w:cs="Arial"/>
          <w:sz w:val="16"/>
          <w:szCs w:val="16"/>
        </w:rPr>
      </w:pPr>
    </w:p>
    <w:p w:rsidR="007F2563" w:rsidRPr="00F4237E" w:rsidRDefault="007F2563" w:rsidP="00E6098D">
      <w:pPr>
        <w:rPr>
          <w:rFonts w:ascii="Arial" w:hAnsi="Arial" w:cs="Arial"/>
          <w:sz w:val="16"/>
          <w:szCs w:val="16"/>
        </w:rPr>
      </w:pPr>
    </w:p>
    <w:p w:rsidR="007F2563" w:rsidRPr="00F4237E" w:rsidRDefault="007F2563" w:rsidP="00E6098D">
      <w:pPr>
        <w:rPr>
          <w:rFonts w:ascii="Arial" w:hAnsi="Arial" w:cs="Arial"/>
          <w:sz w:val="16"/>
          <w:szCs w:val="16"/>
        </w:rPr>
      </w:pPr>
    </w:p>
    <w:p w:rsidR="00E6098D" w:rsidRPr="00F4237E" w:rsidRDefault="00E6098D" w:rsidP="00E6098D">
      <w:pPr>
        <w:rPr>
          <w:rFonts w:ascii="Arial" w:hAnsi="Arial" w:cs="Arial"/>
          <w:sz w:val="16"/>
          <w:szCs w:val="16"/>
        </w:rPr>
      </w:pPr>
    </w:p>
    <w:p w:rsidR="00E6098D" w:rsidRPr="00F4237E" w:rsidRDefault="000E6EAD" w:rsidP="00E6098D">
      <w:pPr>
        <w:rPr>
          <w:rFonts w:ascii="Arial" w:hAnsi="Arial" w:cs="Arial"/>
          <w:sz w:val="16"/>
          <w:szCs w:val="16"/>
        </w:rPr>
      </w:pPr>
      <w:r w:rsidRPr="00F4237E"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329482</wp:posOffset>
                </wp:positionH>
                <wp:positionV relativeFrom="paragraph">
                  <wp:posOffset>15737</wp:posOffset>
                </wp:positionV>
                <wp:extent cx="5684520" cy="3800723"/>
                <wp:effectExtent l="0" t="0" r="11430" b="2857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4520" cy="3800723"/>
                        </a:xfrm>
                        <a:prstGeom prst="roundRect">
                          <a:avLst>
                            <a:gd name="adj" fmla="val 758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098D" w:rsidRDefault="00E6098D" w:rsidP="00E6098D">
                            <w:pPr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R</w:t>
                            </w:r>
                            <w:r w:rsidR="00B93FE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eferente de evaluación</w:t>
                            </w:r>
                          </w:p>
                          <w:p w:rsidR="00E6098D" w:rsidRPr="00123569" w:rsidRDefault="00E6098D" w:rsidP="00E6098D">
                            <w:pPr>
                              <w:ind w:right="108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La estabilidad contractual es un aspecto del bienestar de las p</w:t>
                            </w:r>
                            <w:r w:rsidR="00AA2D2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ersonas, por lo que deberían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ser mayores los porcentajes </w:t>
                            </w:r>
                            <w:r w:rsidRPr="0012356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en los niveles de escolaridad más elevados, de cumplirse la premisa normativa legal de que el criterio orientador de la educación </w:t>
                            </w:r>
                            <w:r w:rsidR="002E327E" w:rsidRPr="0012356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“</w:t>
                            </w:r>
                            <w:r w:rsidRPr="0012356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será democrático, considerando a la democracia no solamente como una estructura jurídica y un régimen político, sino como un sistema de vida fundado en el constante mejoramiento económico, social y cultural del pueblo</w:t>
                            </w:r>
                            <w:r w:rsidR="002E327E" w:rsidRPr="0012356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”</w:t>
                            </w:r>
                            <w:r w:rsidRPr="0012356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AE35CA" w:rsidRPr="00123569" w:rsidRDefault="00AE35CA" w:rsidP="00E6098D">
                            <w:pPr>
                              <w:ind w:right="108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273A7A" w:rsidRPr="00273A7A" w:rsidRDefault="00273A7A" w:rsidP="00E6098D">
                            <w:pPr>
                              <w:ind w:right="108"/>
                              <w:rPr>
                                <w:rFonts w:cs="Akzidenz Grotesk BE Light"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12356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Ver artículo 3º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,</w:t>
                            </w:r>
                            <w:r w:rsidRPr="0012356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fracción II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,</w:t>
                            </w:r>
                            <w:r w:rsidRPr="0012356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inciso </w:t>
                            </w:r>
                            <w:r w:rsidR="00123569" w:rsidRPr="0012356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a</w:t>
                            </w:r>
                            <w:r w:rsidR="0070476A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,</w:t>
                            </w:r>
                            <w:r w:rsidRPr="0012356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de la </w:t>
                            </w:r>
                            <w:r w:rsidRPr="00E2534B">
                              <w:rPr>
                                <w:rStyle w:val="A23"/>
                                <w:rFonts w:ascii="Arial" w:hAnsi="Arial" w:cs="Arial"/>
                                <w:sz w:val="12"/>
                                <w:szCs w:val="12"/>
                              </w:rPr>
                              <w:t>CPEUM</w:t>
                            </w:r>
                            <w:r w:rsidR="007C576C">
                              <w:rPr>
                                <w:rStyle w:val="A23"/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EB738E" w:rsidRPr="00E2534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201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8</w:t>
                            </w:r>
                            <w:r w:rsidR="00EB738E" w:rsidRPr="00E2534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27</w:t>
                            </w:r>
                            <w:r w:rsidR="007C576C" w:rsidRPr="00E2534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E3005C" w:rsidRPr="00E2534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de 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agosto</w:t>
                            </w:r>
                            <w:r w:rsidRPr="0012356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) y artículo 8º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,</w:t>
                            </w:r>
                            <w:r w:rsidRPr="0012356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fracción I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,</w:t>
                            </w:r>
                            <w:r w:rsidRPr="0012356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de la </w:t>
                            </w:r>
                            <w:r w:rsidRPr="00E2534B">
                              <w:rPr>
                                <w:rStyle w:val="A23"/>
                                <w:rFonts w:ascii="Arial" w:hAnsi="Arial" w:cs="Arial"/>
                                <w:sz w:val="12"/>
                                <w:szCs w:val="12"/>
                              </w:rPr>
                              <w:t>LGE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EB738E" w:rsidRPr="00E2534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201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8</w:t>
                            </w:r>
                            <w:r w:rsidR="00EB738E" w:rsidRPr="00E2534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19</w:t>
                            </w:r>
                            <w:r w:rsidR="007C576C" w:rsidRPr="00E2534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E3005C" w:rsidRPr="00E2534B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de 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enero</w:t>
                            </w:r>
                            <w:r w:rsidRPr="00123569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).</w:t>
                            </w:r>
                            <w:r w:rsidRPr="00273A7A">
                              <w:rPr>
                                <w:rFonts w:cs="Akzidenz Grotesk BE Light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:rsidR="00273A7A" w:rsidRDefault="00273A7A" w:rsidP="00E6098D">
                            <w:pPr>
                              <w:ind w:right="108"/>
                              <w:rPr>
                                <w:rFonts w:cs="Akzidenz Grotesk BE Light"/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:rsidR="001A4AD3" w:rsidRDefault="00B93FE7" w:rsidP="00E6098D">
                            <w:pPr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Información de referencia</w:t>
                            </w:r>
                          </w:p>
                          <w:p w:rsidR="003C02AA" w:rsidRDefault="003C02AA" w:rsidP="00E6098D">
                            <w:pPr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8047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79"/>
                              <w:gridCol w:w="603"/>
                              <w:gridCol w:w="710"/>
                              <w:gridCol w:w="1001"/>
                              <w:gridCol w:w="745"/>
                              <w:gridCol w:w="496"/>
                              <w:gridCol w:w="761"/>
                              <w:gridCol w:w="621"/>
                              <w:gridCol w:w="1001"/>
                              <w:gridCol w:w="745"/>
                              <w:gridCol w:w="585"/>
                            </w:tblGrid>
                            <w:tr w:rsidR="004D4B63" w:rsidRPr="001A4AD3" w:rsidTr="00123569">
                              <w:trPr>
                                <w:trHeight w:val="300"/>
                              </w:trPr>
                              <w:tc>
                                <w:tcPr>
                                  <w:tcW w:w="8047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/>
                                  <w:noWrap/>
                                  <w:vAlign w:val="bottom"/>
                                  <w:hideMark/>
                                </w:tcPr>
                                <w:p w:rsidR="001A4AD3" w:rsidRPr="003C02AA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s-MX" w:eastAsia="es-MX"/>
                                    </w:rPr>
                                  </w:pPr>
                                  <w:r w:rsidRPr="003C02AA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>Porcentaje de trabajadores con contratación estable según nivel de escolaridad y grupo de edad</w:t>
                                  </w:r>
                                </w:p>
                              </w:tc>
                            </w:tr>
                            <w:tr w:rsidR="001A4AD3" w:rsidRPr="001A4AD3" w:rsidTr="00C41BFD">
                              <w:trPr>
                                <w:trHeight w:val="203"/>
                              </w:trPr>
                              <w:tc>
                                <w:tcPr>
                                  <w:tcW w:w="8047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A4AD3" w:rsidRPr="003C02AA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3C02AA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>Nivel de escolaridad</w:t>
                                  </w:r>
                                </w:p>
                              </w:tc>
                            </w:tr>
                            <w:tr w:rsidR="001A4AD3" w:rsidRPr="001A4AD3" w:rsidTr="00200A3C">
                              <w:trPr>
                                <w:trHeight w:val="300"/>
                              </w:trPr>
                              <w:tc>
                                <w:tcPr>
                                  <w:tcW w:w="77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A4AD3" w:rsidRPr="004D4B63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555" w:type="dxa"/>
                                  <w:gridSpan w:val="5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/>
                                  <w:noWrap/>
                                  <w:vAlign w:val="bottom"/>
                                  <w:hideMark/>
                                </w:tcPr>
                                <w:p w:rsidR="001A4AD3" w:rsidRPr="003C02AA" w:rsidRDefault="001A4AD3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  <w:highlight w:val="lightGray"/>
                                    </w:rPr>
                                  </w:pPr>
                                  <w:r w:rsidRPr="003C02AA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Población </w:t>
                                  </w:r>
                                  <w:r w:rsidR="00905E8E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>adulta</w:t>
                                  </w:r>
                                  <w:r w:rsidRPr="003C02AA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de </w:t>
                                  </w:r>
                                  <w:r w:rsidR="00905E8E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  <w:r w:rsidRPr="003C02AA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a </w:t>
                                  </w:r>
                                  <w:r w:rsidR="00905E8E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>64</w:t>
                                  </w:r>
                                  <w:r w:rsidRPr="003C02AA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años </w:t>
                                  </w:r>
                                </w:p>
                              </w:tc>
                              <w:tc>
                                <w:tcPr>
                                  <w:tcW w:w="3713" w:type="dxa"/>
                                  <w:gridSpan w:val="5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/>
                                  <w:noWrap/>
                                  <w:vAlign w:val="bottom"/>
                                  <w:hideMark/>
                                </w:tcPr>
                                <w:p w:rsidR="001A4AD3" w:rsidRPr="003C02AA" w:rsidRDefault="001A4AD3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  <w:highlight w:val="lightGray"/>
                                    </w:rPr>
                                  </w:pPr>
                                  <w:r w:rsidRPr="003C02AA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Población </w:t>
                                  </w:r>
                                  <w:r w:rsidR="00905E8E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>joven de 1</w:t>
                                  </w:r>
                                  <w:r w:rsidRPr="003C02AA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5 a </w:t>
                                  </w:r>
                                  <w:r w:rsidR="00905E8E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>29</w:t>
                                  </w:r>
                                  <w:r w:rsidRPr="003C02AA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años</w:t>
                                  </w:r>
                                </w:p>
                              </w:tc>
                            </w:tr>
                            <w:tr w:rsidR="001A4AD3" w:rsidRPr="001A4AD3" w:rsidTr="00200A3C">
                              <w:trPr>
                                <w:trHeight w:val="239"/>
                              </w:trPr>
                              <w:tc>
                                <w:tcPr>
                                  <w:tcW w:w="77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/>
                                  <w:noWrap/>
                                  <w:vAlign w:val="bottom"/>
                                  <w:hideMark/>
                                </w:tcPr>
                                <w:p w:rsidR="001A4AD3" w:rsidRPr="004D4B63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Año</w:t>
                                  </w: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1A4AD3" w:rsidRPr="004D4B63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Sin básica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1A4AD3" w:rsidRPr="004D4B63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Básica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1A4AD3" w:rsidRPr="004D4B63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Media superior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1A4AD3" w:rsidRPr="004D4B63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Superior 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1A4AD3" w:rsidRPr="004D4B63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1A4AD3" w:rsidRPr="004D4B63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Sin básica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1A4AD3" w:rsidRPr="004D4B63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Básica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1A4AD3" w:rsidRPr="004D4B63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Media superior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1A4AD3" w:rsidRPr="004D4B63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Superior 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1A4AD3" w:rsidRPr="004D4B63" w:rsidRDefault="001A4AD3" w:rsidP="006322F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905E8E" w:rsidRPr="001A4AD3" w:rsidTr="00905E8E">
                              <w:trPr>
                                <w:trHeight w:val="129"/>
                              </w:trPr>
                              <w:tc>
                                <w:tcPr>
                                  <w:tcW w:w="77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25.3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49.4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64.9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73.3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48.1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15.4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31.3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43.3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56.5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31.9</w:t>
                                  </w:r>
                                </w:p>
                              </w:tc>
                            </w:tr>
                            <w:tr w:rsidR="00905E8E" w:rsidRPr="001A4AD3" w:rsidTr="00C41BFD">
                              <w:trPr>
                                <w:trHeight w:val="131"/>
                              </w:trPr>
                              <w:tc>
                                <w:tcPr>
                                  <w:tcW w:w="77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2010</w:t>
                                  </w: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23.0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45.7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63.3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75.4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48.5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11.8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28.4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42.3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58.5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32.1</w:t>
                                  </w:r>
                                </w:p>
                              </w:tc>
                            </w:tr>
                            <w:tr w:rsidR="00905E8E" w:rsidRPr="001A4AD3" w:rsidTr="00905E8E">
                              <w:trPr>
                                <w:trHeight w:val="131"/>
                              </w:trPr>
                              <w:tc>
                                <w:tcPr>
                                  <w:tcW w:w="77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2011</w:t>
                                  </w: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22.1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46.9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62.7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76.6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49.1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11.4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28.3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42.7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61.6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32.8</w:t>
                                  </w:r>
                                </w:p>
                              </w:tc>
                            </w:tr>
                            <w:tr w:rsidR="00905E8E" w:rsidRPr="001A4AD3" w:rsidTr="00905E8E">
                              <w:trPr>
                                <w:trHeight w:val="133"/>
                              </w:trPr>
                              <w:tc>
                                <w:tcPr>
                                  <w:tcW w:w="77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2012</w:t>
                                  </w: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22.3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44.6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61.4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75.6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48.5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12.0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28.2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40.9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58.9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33.0</w:t>
                                  </w:r>
                                </w:p>
                              </w:tc>
                            </w:tr>
                            <w:tr w:rsidR="00905E8E" w:rsidRPr="001A4AD3" w:rsidTr="005608C9">
                              <w:trPr>
                                <w:trHeight w:val="121"/>
                              </w:trPr>
                              <w:tc>
                                <w:tcPr>
                                  <w:tcW w:w="77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2013</w:t>
                                  </w: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22.1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45.7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61.7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75.0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49.4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12.4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29.2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42.8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58.8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34.5</w:t>
                                  </w:r>
                                </w:p>
                              </w:tc>
                            </w:tr>
                            <w:tr w:rsidR="00905E8E" w:rsidRPr="001A4AD3" w:rsidTr="003F68BE">
                              <w:trPr>
                                <w:trHeight w:val="109"/>
                              </w:trPr>
                              <w:tc>
                                <w:tcPr>
                                  <w:tcW w:w="77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22.3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45.7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62.3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75.3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49.6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13.2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29.0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43.5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59.2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34.6</w:t>
                                  </w:r>
                                </w:p>
                              </w:tc>
                            </w:tr>
                            <w:tr w:rsidR="00905E8E" w:rsidRPr="001A4AD3" w:rsidTr="003F68BE">
                              <w:trPr>
                                <w:trHeight w:val="111"/>
                              </w:trPr>
                              <w:tc>
                                <w:tcPr>
                                  <w:tcW w:w="7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D4B63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2015</w:t>
                                  </w: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21.8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44.6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60.8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74.9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05E8E" w:rsidRPr="008066CC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MX"/>
                                    </w:rPr>
                                    <w:t>49.0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12.2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29.5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43.2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05E8E" w:rsidRPr="004D4B63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59.8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05E8E" w:rsidRPr="008066CC" w:rsidRDefault="00905E8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MX"/>
                                    </w:rPr>
                                    <w:t>35.0</w:t>
                                  </w:r>
                                </w:p>
                              </w:tc>
                            </w:tr>
                            <w:tr w:rsidR="003F68BE" w:rsidRPr="001A4AD3" w:rsidTr="003F68BE">
                              <w:trPr>
                                <w:trHeight w:val="111"/>
                              </w:trPr>
                              <w:tc>
                                <w:tcPr>
                                  <w:tcW w:w="7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3F68BE" w:rsidRPr="004D4B63" w:rsidRDefault="003F68B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2017</w:t>
                                  </w: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F68BE" w:rsidRDefault="003F68B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21.8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F68BE" w:rsidRDefault="003F68B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43.3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F68BE" w:rsidRDefault="003F68B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60.1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F68BE" w:rsidRDefault="003F68B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75.3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F68BE" w:rsidRDefault="003F68B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MX"/>
                                    </w:rPr>
                                    <w:t>49.4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F68BE" w:rsidRDefault="003F68B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12.6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F68BE" w:rsidRDefault="003F68B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29.7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F68BE" w:rsidRDefault="003F68B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43.1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F68BE" w:rsidRDefault="003F68B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59.9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F68BE" w:rsidRDefault="003F68B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MX"/>
                                    </w:rPr>
                                    <w:t>36.2</w:t>
                                  </w:r>
                                </w:p>
                              </w:tc>
                            </w:tr>
                            <w:tr w:rsidR="00C81E1E" w:rsidRPr="001A4AD3" w:rsidTr="003F68BE">
                              <w:trPr>
                                <w:trHeight w:val="111"/>
                              </w:trPr>
                              <w:tc>
                                <w:tcPr>
                                  <w:tcW w:w="7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C81E1E" w:rsidRDefault="00C81E1E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81E1E" w:rsidRDefault="00D11500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20.7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81E1E" w:rsidRDefault="00D11500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43.4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81E1E" w:rsidRDefault="00D11500" w:rsidP="00D1150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60.1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81E1E" w:rsidRDefault="00D11500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74.6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81E1E" w:rsidRDefault="00D11500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MX"/>
                                    </w:rPr>
                                    <w:t>49.8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81E1E" w:rsidRDefault="001149B1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13.0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81E1E" w:rsidRDefault="00D11500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29.0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81E1E" w:rsidRDefault="00D11500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43.3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81E1E" w:rsidRDefault="00D11500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59.3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81E1E" w:rsidRDefault="00D11500" w:rsidP="00905E8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  <w:lang w:val="es-MX"/>
                                    </w:rPr>
                                    <w:t>36.7</w:t>
                                  </w:r>
                                </w:p>
                              </w:tc>
                            </w:tr>
                          </w:tbl>
                          <w:p w:rsidR="003C02AA" w:rsidRDefault="003C02AA" w:rsidP="00273A7A">
                            <w:pPr>
                              <w:pStyle w:val="Pa26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:rsidR="00D11500" w:rsidRDefault="00273A7A" w:rsidP="00273A7A">
                            <w:pPr>
                              <w:pStyle w:val="Pa26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273A7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Nota: 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s</w:t>
                            </w:r>
                            <w:r w:rsidRPr="00273A7A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e consideran niveles completos de escolaridad</w:t>
                            </w:r>
                          </w:p>
                          <w:p w:rsidR="00BB021D" w:rsidRPr="00273A7A" w:rsidRDefault="00273A7A" w:rsidP="00273A7A">
                            <w:pPr>
                              <w:ind w:right="108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273A7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 xml:space="preserve">Fuente: </w:t>
                            </w:r>
                            <w:r w:rsidRPr="00273A7A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 xml:space="preserve">INEE, cálculos con base en la </w:t>
                            </w:r>
                            <w:r w:rsidRPr="004B5B75">
                              <w:rPr>
                                <w:rFonts w:ascii="Arial" w:hAnsi="Arial" w:cs="Arial"/>
                                <w:iCs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>Encuesta Nacional de Ocupación y Empl</w:t>
                            </w:r>
                            <w:r w:rsidR="0090287E" w:rsidRPr="004B5B75">
                              <w:rPr>
                                <w:rFonts w:ascii="Arial" w:hAnsi="Arial" w:cs="Arial"/>
                                <w:iCs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>eo</w:t>
                            </w:r>
                            <w:r w:rsidR="0090287E" w:rsidRPr="007C576C">
                              <w:rPr>
                                <w:rFonts w:ascii="Arial" w:hAnsi="Arial" w:cs="Arial"/>
                                <w:iCs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>,</w:t>
                            </w:r>
                            <w:r w:rsidR="0090287E" w:rsidRPr="0048521B">
                              <w:rPr>
                                <w:rFonts w:ascii="Arial" w:hAnsi="Arial" w:cs="Arial"/>
                                <w:iCs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 xml:space="preserve"> 2° trimestre de 2005</w:t>
                            </w:r>
                            <w:r w:rsidR="0090287E" w:rsidRPr="00B53A5A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 xml:space="preserve">, </w:t>
                            </w:r>
                            <w:r w:rsidR="00902080" w:rsidRPr="00B53A5A">
                              <w:rPr>
                                <w:rFonts w:ascii="Arial" w:hAnsi="Arial" w:cs="Arial"/>
                                <w:iCs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>2010</w:t>
                            </w:r>
                            <w:r w:rsidR="009F1ED2" w:rsidRPr="00B53A5A">
                              <w:rPr>
                                <w:rFonts w:ascii="Arial" w:hAnsi="Arial" w:cs="Arial"/>
                                <w:iCs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>-</w:t>
                            </w:r>
                            <w:r w:rsidR="00FD128D" w:rsidRPr="00B53A5A">
                              <w:rPr>
                                <w:rFonts w:ascii="Arial" w:hAnsi="Arial" w:cs="Arial"/>
                                <w:iCs/>
                                <w:color w:val="000000"/>
                                <w:sz w:val="12"/>
                                <w:szCs w:val="12"/>
                                <w:lang w:val="es-419" w:eastAsia="es-MX"/>
                              </w:rPr>
                              <w:t>2015</w:t>
                            </w:r>
                            <w:r w:rsidRPr="00273A7A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 xml:space="preserve">, </w:t>
                            </w:r>
                            <w:r w:rsidR="003F68BE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>2017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 xml:space="preserve"> y</w:t>
                            </w:r>
                            <w:r w:rsidR="00D11500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 xml:space="preserve"> 2018</w:t>
                            </w:r>
                            <w:r w:rsidR="007C576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 xml:space="preserve"> (INEGI, </w:t>
                            </w:r>
                            <w:r w:rsidR="00C17991">
                              <w:rPr>
                                <w:rFonts w:ascii="Arial" w:hAnsi="Arial" w:cs="Arial"/>
                                <w:smallCaps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>2005, 2010-2015</w:t>
                            </w:r>
                            <w:r w:rsidR="003F68BE">
                              <w:rPr>
                                <w:rFonts w:ascii="Arial" w:hAnsi="Arial" w:cs="Arial"/>
                                <w:smallCaps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>, 2017</w:t>
                            </w:r>
                            <w:r w:rsidR="007C576C" w:rsidRPr="004B5B7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 xml:space="preserve"> y</w:t>
                            </w:r>
                            <w:r w:rsidR="00D11500">
                              <w:rPr>
                                <w:rFonts w:ascii="Arial" w:hAnsi="Arial" w:cs="Arial"/>
                                <w:smallCaps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 xml:space="preserve"> 2018</w:t>
                            </w:r>
                            <w:r w:rsidR="00E96DBB" w:rsidRPr="004B5B7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>a</w:t>
                            </w:r>
                            <w:r w:rsidR="00C17991">
                              <w:rPr>
                                <w:rFonts w:ascii="Arial" w:hAnsi="Arial" w:cs="Arial"/>
                                <w:smallCaps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>)</w:t>
                            </w:r>
                            <w:r w:rsidRPr="00273A7A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  <w:lang w:val="es-MX" w:eastAsia="es-MX"/>
                              </w:rPr>
                              <w:t>.</w:t>
                            </w:r>
                          </w:p>
                          <w:p w:rsidR="00BB021D" w:rsidRPr="004E0682" w:rsidRDefault="00BB021D" w:rsidP="00E6098D">
                            <w:pPr>
                              <w:ind w:right="10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E6098D" w:rsidRPr="00EB0BA6" w:rsidRDefault="00E6098D" w:rsidP="00E6098D">
                            <w:pPr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E6098D" w:rsidRPr="00620E09" w:rsidRDefault="00E6098D" w:rsidP="00E6098D">
                            <w:pPr>
                              <w:pStyle w:val="Encabezado"/>
                              <w:tabs>
                                <w:tab w:val="left" w:pos="4500"/>
                                <w:tab w:val="left" w:pos="4680"/>
                              </w:tabs>
                              <w:spacing w:before="120"/>
                              <w:ind w:right="113"/>
                              <w:jc w:val="both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54000" tIns="46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7" style="position:absolute;margin-left:25.95pt;margin-top:1.25pt;width:447.6pt;height:29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9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">
                <v:textbox inset="1.5mm,1.3mm,1.5mm,.3mm">
                  <w:txbxContent>
                    <w:p w:rsidR="00E6098D" w:rsidRDefault="00E6098D" w:rsidP="00E6098D">
                      <w:pPr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R</w:t>
                      </w:r>
                      <w:r w:rsidR="00B93FE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eferente de evaluación</w:t>
                      </w:r>
                    </w:p>
                    <w:p w:rsidR="00E6098D" w:rsidRPr="00123569" w:rsidRDefault="00E6098D" w:rsidP="00E6098D">
                      <w:pPr>
                        <w:ind w:right="108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La estabilidad contractual es un aspecto del bienestar de las p</w:t>
                      </w:r>
                      <w:r w:rsidR="00AA2D2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ersonas, por lo que deberían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ser mayores los porcentajes </w:t>
                      </w:r>
                      <w:r w:rsidRPr="0012356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en los niveles de escolaridad más elevados, de cumplirse la premisa normativa legal de que el criterio orientador de la educación </w:t>
                      </w:r>
                      <w:r w:rsidR="002E327E" w:rsidRPr="00123569">
                        <w:rPr>
                          <w:rFonts w:ascii="Arial" w:hAnsi="Arial" w:cs="Arial"/>
                          <w:sz w:val="16"/>
                          <w:szCs w:val="16"/>
                        </w:rPr>
                        <w:t>“</w:t>
                      </w:r>
                      <w:r w:rsidRPr="00123569">
                        <w:rPr>
                          <w:rFonts w:ascii="Arial" w:hAnsi="Arial" w:cs="Arial"/>
                          <w:sz w:val="16"/>
                          <w:szCs w:val="16"/>
                        </w:rPr>
                        <w:t>será democrático, considerando a la democracia no solamente como una estructura jurídica y un régimen político, sino como un sistema de vida fundado en el constante mejoramiento económico, social y cultural del pueblo</w:t>
                      </w:r>
                      <w:r w:rsidR="002E327E" w:rsidRPr="00123569">
                        <w:rPr>
                          <w:rFonts w:ascii="Arial" w:hAnsi="Arial" w:cs="Arial"/>
                          <w:sz w:val="16"/>
                          <w:szCs w:val="16"/>
                        </w:rPr>
                        <w:t>”</w:t>
                      </w:r>
                      <w:r w:rsidRPr="00123569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  <w:p w:rsidR="00AE35CA" w:rsidRPr="00123569" w:rsidRDefault="00AE35CA" w:rsidP="00E6098D">
                      <w:pPr>
                        <w:ind w:right="108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273A7A" w:rsidRPr="00273A7A" w:rsidRDefault="00273A7A" w:rsidP="00E6098D">
                      <w:pPr>
                        <w:ind w:right="108"/>
                        <w:rPr>
                          <w:rFonts w:cs="Akzidenz Grotesk BE Light"/>
                          <w:color w:val="000000"/>
                          <w:sz w:val="12"/>
                          <w:szCs w:val="12"/>
                        </w:rPr>
                      </w:pPr>
                      <w:r w:rsidRPr="0012356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Ver artículo 3º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,</w:t>
                      </w:r>
                      <w:r w:rsidRPr="0012356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fracción II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,</w:t>
                      </w:r>
                      <w:r w:rsidRPr="0012356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inciso </w:t>
                      </w:r>
                      <w:r w:rsidR="00123569" w:rsidRPr="0012356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a</w:t>
                      </w:r>
                      <w:r w:rsidR="0070476A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,</w:t>
                      </w:r>
                      <w:r w:rsidRPr="0012356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de la </w:t>
                      </w:r>
                      <w:r w:rsidRPr="00E2534B">
                        <w:rPr>
                          <w:rStyle w:val="A23"/>
                          <w:rFonts w:ascii="Arial" w:hAnsi="Arial" w:cs="Arial"/>
                          <w:sz w:val="12"/>
                          <w:szCs w:val="12"/>
                        </w:rPr>
                        <w:t>CPEUM</w:t>
                      </w:r>
                      <w:r w:rsidR="007C576C">
                        <w:rPr>
                          <w:rStyle w:val="A23"/>
                          <w:rFonts w:ascii="Arial" w:hAnsi="Arial" w:cs="Arial"/>
                          <w:sz w:val="12"/>
                          <w:szCs w:val="12"/>
                        </w:rPr>
                        <w:t xml:space="preserve"> (</w:t>
                      </w:r>
                      <w:r w:rsidR="00EB738E" w:rsidRPr="00E2534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201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8</w:t>
                      </w:r>
                      <w:r w:rsidR="00EB738E" w:rsidRPr="00E2534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, 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27</w:t>
                      </w:r>
                      <w:r w:rsidR="007C576C" w:rsidRPr="00E2534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="00E3005C" w:rsidRPr="00E2534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de 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agosto</w:t>
                      </w:r>
                      <w:r w:rsidRPr="0012356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) y artículo 8º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,</w:t>
                      </w:r>
                      <w:r w:rsidRPr="0012356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fracción I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,</w:t>
                      </w:r>
                      <w:r w:rsidRPr="0012356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de la </w:t>
                      </w:r>
                      <w:r w:rsidRPr="00E2534B">
                        <w:rPr>
                          <w:rStyle w:val="A23"/>
                          <w:rFonts w:ascii="Arial" w:hAnsi="Arial" w:cs="Arial"/>
                          <w:sz w:val="12"/>
                          <w:szCs w:val="12"/>
                        </w:rPr>
                        <w:t>LGE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(</w:t>
                      </w:r>
                      <w:r w:rsidR="00EB738E" w:rsidRPr="00E2534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201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8</w:t>
                      </w:r>
                      <w:r w:rsidR="00EB738E" w:rsidRPr="00E2534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, 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19</w:t>
                      </w:r>
                      <w:r w:rsidR="007C576C" w:rsidRPr="00E2534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="00E3005C" w:rsidRPr="00E2534B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de 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enero</w:t>
                      </w:r>
                      <w:r w:rsidRPr="0012356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).</w:t>
                      </w:r>
                      <w:r w:rsidRPr="00273A7A">
                        <w:rPr>
                          <w:rFonts w:cs="Akzidenz Grotesk BE Light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</w:p>
                    <w:p w:rsidR="00273A7A" w:rsidRDefault="00273A7A" w:rsidP="00E6098D">
                      <w:pPr>
                        <w:ind w:right="108"/>
                        <w:rPr>
                          <w:rFonts w:cs="Akzidenz Grotesk BE Light"/>
                          <w:color w:val="000000"/>
                          <w:sz w:val="12"/>
                          <w:szCs w:val="12"/>
                        </w:rPr>
                      </w:pPr>
                    </w:p>
                    <w:p w:rsidR="001A4AD3" w:rsidRDefault="00B93FE7" w:rsidP="00E6098D">
                      <w:pPr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Información de referencia</w:t>
                      </w:r>
                    </w:p>
                    <w:p w:rsidR="003C02AA" w:rsidRDefault="003C02AA" w:rsidP="00E6098D">
                      <w:pPr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8047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79"/>
                        <w:gridCol w:w="603"/>
                        <w:gridCol w:w="710"/>
                        <w:gridCol w:w="1001"/>
                        <w:gridCol w:w="745"/>
                        <w:gridCol w:w="496"/>
                        <w:gridCol w:w="761"/>
                        <w:gridCol w:w="621"/>
                        <w:gridCol w:w="1001"/>
                        <w:gridCol w:w="745"/>
                        <w:gridCol w:w="585"/>
                      </w:tblGrid>
                      <w:tr w:rsidR="004D4B63" w:rsidRPr="001A4AD3" w:rsidTr="00123569">
                        <w:trPr>
                          <w:trHeight w:val="300"/>
                        </w:trPr>
                        <w:tc>
                          <w:tcPr>
                            <w:tcW w:w="8047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/>
                            <w:noWrap/>
                            <w:vAlign w:val="bottom"/>
                            <w:hideMark/>
                          </w:tcPr>
                          <w:p w:rsidR="001A4AD3" w:rsidRPr="003C02AA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lang w:val="es-MX" w:eastAsia="es-MX"/>
                              </w:rPr>
                            </w:pPr>
                            <w:r w:rsidRPr="003C02AA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>Porcentaje de trabajadores con contratación estable según nivel de escolaridad y grupo de edad</w:t>
                            </w:r>
                          </w:p>
                        </w:tc>
                      </w:tr>
                      <w:tr w:rsidR="001A4AD3" w:rsidRPr="001A4AD3" w:rsidTr="00C41BFD">
                        <w:trPr>
                          <w:trHeight w:val="203"/>
                        </w:trPr>
                        <w:tc>
                          <w:tcPr>
                            <w:tcW w:w="8047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A4AD3" w:rsidRPr="003C02AA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C02AA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>Nivel de escolaridad</w:t>
                            </w:r>
                          </w:p>
                        </w:tc>
                      </w:tr>
                      <w:tr w:rsidR="001A4AD3" w:rsidRPr="001A4AD3" w:rsidTr="00200A3C">
                        <w:trPr>
                          <w:trHeight w:val="300"/>
                        </w:trPr>
                        <w:tc>
                          <w:tcPr>
                            <w:tcW w:w="77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A4AD3" w:rsidRPr="004D4B63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555" w:type="dxa"/>
                            <w:gridSpan w:val="5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/>
                            <w:noWrap/>
                            <w:vAlign w:val="bottom"/>
                            <w:hideMark/>
                          </w:tcPr>
                          <w:p w:rsidR="001A4AD3" w:rsidRPr="003C02AA" w:rsidRDefault="001A4AD3" w:rsidP="00905E8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highlight w:val="lightGray"/>
                              </w:rPr>
                            </w:pPr>
                            <w:r w:rsidRPr="003C02AA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Población </w:t>
                            </w:r>
                            <w:r w:rsidR="00905E8E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>adulta</w:t>
                            </w:r>
                            <w:r w:rsidRPr="003C02AA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 de </w:t>
                            </w:r>
                            <w:r w:rsidR="00905E8E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>25</w:t>
                            </w:r>
                            <w:r w:rsidRPr="003C02AA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 a </w:t>
                            </w:r>
                            <w:r w:rsidR="00905E8E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>64</w:t>
                            </w:r>
                            <w:r w:rsidRPr="003C02AA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 años </w:t>
                            </w:r>
                          </w:p>
                        </w:tc>
                        <w:tc>
                          <w:tcPr>
                            <w:tcW w:w="3713" w:type="dxa"/>
                            <w:gridSpan w:val="5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/>
                            <w:noWrap/>
                            <w:vAlign w:val="bottom"/>
                            <w:hideMark/>
                          </w:tcPr>
                          <w:p w:rsidR="001A4AD3" w:rsidRPr="003C02AA" w:rsidRDefault="001A4AD3" w:rsidP="00905E8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highlight w:val="lightGray"/>
                              </w:rPr>
                            </w:pPr>
                            <w:r w:rsidRPr="003C02AA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Población </w:t>
                            </w:r>
                            <w:r w:rsidR="00905E8E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>joven de 1</w:t>
                            </w:r>
                            <w:r w:rsidRPr="003C02AA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5 a </w:t>
                            </w:r>
                            <w:r w:rsidR="00905E8E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>29</w:t>
                            </w:r>
                            <w:r w:rsidRPr="003C02AA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 años</w:t>
                            </w:r>
                          </w:p>
                        </w:tc>
                      </w:tr>
                      <w:tr w:rsidR="001A4AD3" w:rsidRPr="001A4AD3" w:rsidTr="00200A3C">
                        <w:trPr>
                          <w:trHeight w:val="239"/>
                        </w:trPr>
                        <w:tc>
                          <w:tcPr>
                            <w:tcW w:w="77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/>
                            <w:noWrap/>
                            <w:vAlign w:val="bottom"/>
                            <w:hideMark/>
                          </w:tcPr>
                          <w:p w:rsidR="001A4AD3" w:rsidRPr="004D4B63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Año</w:t>
                            </w: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1A4AD3" w:rsidRPr="004D4B63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Sin básica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1A4AD3" w:rsidRPr="004D4B63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Básica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1A4AD3" w:rsidRPr="004D4B63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Media superior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1A4AD3" w:rsidRPr="004D4B63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Superior 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1A4AD3" w:rsidRPr="004D4B63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7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1A4AD3" w:rsidRPr="004D4B63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Sin básica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1A4AD3" w:rsidRPr="004D4B63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Básica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1A4AD3" w:rsidRPr="004D4B63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Media superior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1A4AD3" w:rsidRPr="004D4B63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Superior 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1A4AD3" w:rsidRPr="004D4B63" w:rsidRDefault="001A4AD3" w:rsidP="00632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Total</w:t>
                            </w:r>
                          </w:p>
                        </w:tc>
                      </w:tr>
                      <w:tr w:rsidR="00905E8E" w:rsidRPr="001A4AD3" w:rsidTr="00905E8E">
                        <w:trPr>
                          <w:trHeight w:val="129"/>
                        </w:trPr>
                        <w:tc>
                          <w:tcPr>
                            <w:tcW w:w="77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2005</w:t>
                            </w: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25.3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49.4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64.9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73.3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48.1</w:t>
                            </w:r>
                          </w:p>
                        </w:tc>
                        <w:tc>
                          <w:tcPr>
                            <w:tcW w:w="7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15.4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31.3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43.3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56.5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31.9</w:t>
                            </w:r>
                          </w:p>
                        </w:tc>
                      </w:tr>
                      <w:tr w:rsidR="00905E8E" w:rsidRPr="001A4AD3" w:rsidTr="00C41BFD">
                        <w:trPr>
                          <w:trHeight w:val="131"/>
                        </w:trPr>
                        <w:tc>
                          <w:tcPr>
                            <w:tcW w:w="77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2010</w:t>
                            </w: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23.0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45.7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63.3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75.4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48.5</w:t>
                            </w:r>
                          </w:p>
                        </w:tc>
                        <w:tc>
                          <w:tcPr>
                            <w:tcW w:w="7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11.8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28.4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42.3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58.5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32.1</w:t>
                            </w:r>
                          </w:p>
                        </w:tc>
                      </w:tr>
                      <w:tr w:rsidR="00905E8E" w:rsidRPr="001A4AD3" w:rsidTr="00905E8E">
                        <w:trPr>
                          <w:trHeight w:val="131"/>
                        </w:trPr>
                        <w:tc>
                          <w:tcPr>
                            <w:tcW w:w="77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2011</w:t>
                            </w: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22.1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46.9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62.7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76.6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49.1</w:t>
                            </w:r>
                          </w:p>
                        </w:tc>
                        <w:tc>
                          <w:tcPr>
                            <w:tcW w:w="7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11.4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28.3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42.7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61.6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32.8</w:t>
                            </w:r>
                          </w:p>
                        </w:tc>
                      </w:tr>
                      <w:tr w:rsidR="00905E8E" w:rsidRPr="001A4AD3" w:rsidTr="00905E8E">
                        <w:trPr>
                          <w:trHeight w:val="133"/>
                        </w:trPr>
                        <w:tc>
                          <w:tcPr>
                            <w:tcW w:w="77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2012</w:t>
                            </w: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22.3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44.6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61.4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75.6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48.5</w:t>
                            </w:r>
                          </w:p>
                        </w:tc>
                        <w:tc>
                          <w:tcPr>
                            <w:tcW w:w="7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12.0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28.2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40.9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58.9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33.0</w:t>
                            </w:r>
                          </w:p>
                        </w:tc>
                      </w:tr>
                      <w:tr w:rsidR="00905E8E" w:rsidRPr="001A4AD3" w:rsidTr="005608C9">
                        <w:trPr>
                          <w:trHeight w:val="121"/>
                        </w:trPr>
                        <w:tc>
                          <w:tcPr>
                            <w:tcW w:w="77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2013</w:t>
                            </w: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22.1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45.7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61.7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75.0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49.4</w:t>
                            </w:r>
                          </w:p>
                        </w:tc>
                        <w:tc>
                          <w:tcPr>
                            <w:tcW w:w="7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12.4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29.2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42.8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58.8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34.5</w:t>
                            </w:r>
                          </w:p>
                        </w:tc>
                      </w:tr>
                      <w:tr w:rsidR="00905E8E" w:rsidRPr="001A4AD3" w:rsidTr="003F68BE">
                        <w:trPr>
                          <w:trHeight w:val="109"/>
                        </w:trPr>
                        <w:tc>
                          <w:tcPr>
                            <w:tcW w:w="77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22.3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45.7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62.3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75.3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49.6</w:t>
                            </w:r>
                          </w:p>
                        </w:tc>
                        <w:tc>
                          <w:tcPr>
                            <w:tcW w:w="7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13.2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29.0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43.5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59.2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34.6</w:t>
                            </w:r>
                          </w:p>
                        </w:tc>
                      </w:tr>
                      <w:tr w:rsidR="00905E8E" w:rsidRPr="001A4AD3" w:rsidTr="003F68BE">
                        <w:trPr>
                          <w:trHeight w:val="111"/>
                        </w:trPr>
                        <w:tc>
                          <w:tcPr>
                            <w:tcW w:w="7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D4B63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2015</w:t>
                            </w: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21.8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44.6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60.8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74.9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05E8E" w:rsidRPr="008066CC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MX"/>
                              </w:rPr>
                              <w:t>49.0</w:t>
                            </w:r>
                          </w:p>
                        </w:tc>
                        <w:tc>
                          <w:tcPr>
                            <w:tcW w:w="76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12.2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29.5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43.2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05E8E" w:rsidRPr="004D4B63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59.8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05E8E" w:rsidRPr="008066CC" w:rsidRDefault="00905E8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MX"/>
                              </w:rPr>
                              <w:t>35.0</w:t>
                            </w:r>
                          </w:p>
                        </w:tc>
                      </w:tr>
                      <w:tr w:rsidR="003F68BE" w:rsidRPr="001A4AD3" w:rsidTr="003F68BE">
                        <w:trPr>
                          <w:trHeight w:val="111"/>
                        </w:trPr>
                        <w:tc>
                          <w:tcPr>
                            <w:tcW w:w="7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3F68BE" w:rsidRPr="004D4B63" w:rsidRDefault="003F68B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2017</w:t>
                            </w: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3F68BE" w:rsidRDefault="003F68B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21.8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3F68BE" w:rsidRDefault="003F68B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43.3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3F68BE" w:rsidRDefault="003F68B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60.1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3F68BE" w:rsidRDefault="003F68B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75.3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3F68BE" w:rsidRDefault="003F68B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MX"/>
                              </w:rPr>
                              <w:t>49.4</w:t>
                            </w:r>
                          </w:p>
                        </w:tc>
                        <w:tc>
                          <w:tcPr>
                            <w:tcW w:w="76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3F68BE" w:rsidRDefault="003F68B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12.6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3F68BE" w:rsidRDefault="003F68B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29.7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3F68BE" w:rsidRDefault="003F68B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43.1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3F68BE" w:rsidRDefault="003F68B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59.9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3F68BE" w:rsidRDefault="003F68B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MX"/>
                              </w:rPr>
                              <w:t>36.2</w:t>
                            </w:r>
                          </w:p>
                        </w:tc>
                      </w:tr>
                      <w:tr w:rsidR="00C81E1E" w:rsidRPr="001A4AD3" w:rsidTr="003F68BE">
                        <w:trPr>
                          <w:trHeight w:val="111"/>
                        </w:trPr>
                        <w:tc>
                          <w:tcPr>
                            <w:tcW w:w="7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C81E1E" w:rsidRDefault="00C81E1E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81E1E" w:rsidRDefault="00D11500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20.7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81E1E" w:rsidRDefault="00D11500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43.4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81E1E" w:rsidRDefault="00D11500" w:rsidP="00D11500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60.1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81E1E" w:rsidRDefault="00D11500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74.6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81E1E" w:rsidRDefault="00D11500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MX"/>
                              </w:rPr>
                              <w:t>49.8</w:t>
                            </w:r>
                          </w:p>
                        </w:tc>
                        <w:tc>
                          <w:tcPr>
                            <w:tcW w:w="76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81E1E" w:rsidRDefault="001149B1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13.0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81E1E" w:rsidRDefault="00D11500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29.0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81E1E" w:rsidRDefault="00D11500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43.3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81E1E" w:rsidRDefault="00D11500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59.3</w:t>
                            </w:r>
                          </w:p>
                        </w:tc>
                        <w:tc>
                          <w:tcPr>
                            <w:tcW w:w="58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81E1E" w:rsidRDefault="00D11500" w:rsidP="00905E8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  <w:lang w:val="es-MX"/>
                              </w:rPr>
                              <w:t>36.7</w:t>
                            </w:r>
                          </w:p>
                        </w:tc>
                      </w:tr>
                    </w:tbl>
                    <w:p w:rsidR="003C02AA" w:rsidRDefault="003C02AA" w:rsidP="00273A7A">
                      <w:pPr>
                        <w:pStyle w:val="Pa26"/>
                        <w:jc w:val="both"/>
                        <w:rPr>
                          <w:rFonts w:ascii="Arial" w:hAnsi="Arial" w:cs="Arial"/>
                          <w:b/>
                          <w:bCs/>
                          <w:color w:val="000000"/>
                          <w:sz w:val="12"/>
                          <w:szCs w:val="12"/>
                        </w:rPr>
                      </w:pPr>
                    </w:p>
                    <w:p w:rsidR="00D11500" w:rsidRDefault="00273A7A" w:rsidP="00273A7A">
                      <w:pPr>
                        <w:pStyle w:val="Pa26"/>
                        <w:jc w:val="both"/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</w:pPr>
                      <w:r w:rsidRPr="00273A7A">
                        <w:rPr>
                          <w:rFonts w:ascii="Arial" w:hAnsi="Arial" w:cs="Arial"/>
                          <w:b/>
                          <w:bCs/>
                          <w:color w:val="000000"/>
                          <w:sz w:val="12"/>
                          <w:szCs w:val="12"/>
                        </w:rPr>
                        <w:t xml:space="preserve">Nota: 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s</w:t>
                      </w:r>
                      <w:r w:rsidRPr="00273A7A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e consideran niveles completos de escolaridad</w:t>
                      </w:r>
                    </w:p>
                    <w:p w:rsidR="00BB021D" w:rsidRPr="00273A7A" w:rsidRDefault="00273A7A" w:rsidP="00273A7A">
                      <w:pPr>
                        <w:ind w:right="108"/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  <w:r w:rsidRPr="00273A7A">
                        <w:rPr>
                          <w:rFonts w:ascii="Arial" w:hAnsi="Arial" w:cs="Arial"/>
                          <w:b/>
                          <w:bCs/>
                          <w:color w:val="000000"/>
                          <w:sz w:val="12"/>
                          <w:szCs w:val="12"/>
                          <w:lang w:val="es-MX" w:eastAsia="es-MX"/>
                        </w:rPr>
                        <w:t xml:space="preserve">Fuente: </w:t>
                      </w:r>
                      <w:r w:rsidRPr="00273A7A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s-MX" w:eastAsia="es-MX"/>
                        </w:rPr>
                        <w:t xml:space="preserve">INEE, cálculos con base en la </w:t>
                      </w:r>
                      <w:r w:rsidRPr="004B5B75">
                        <w:rPr>
                          <w:rFonts w:ascii="Arial" w:hAnsi="Arial" w:cs="Arial"/>
                          <w:iCs/>
                          <w:color w:val="000000"/>
                          <w:sz w:val="12"/>
                          <w:szCs w:val="12"/>
                          <w:lang w:val="es-MX" w:eastAsia="es-MX"/>
                        </w:rPr>
                        <w:t>Encuesta Nacional de Ocupación y Empl</w:t>
                      </w:r>
                      <w:r w:rsidR="0090287E" w:rsidRPr="004B5B75">
                        <w:rPr>
                          <w:rFonts w:ascii="Arial" w:hAnsi="Arial" w:cs="Arial"/>
                          <w:iCs/>
                          <w:color w:val="000000"/>
                          <w:sz w:val="12"/>
                          <w:szCs w:val="12"/>
                          <w:lang w:val="es-MX" w:eastAsia="es-MX"/>
                        </w:rPr>
                        <w:t>eo</w:t>
                      </w:r>
                      <w:r w:rsidR="0090287E" w:rsidRPr="007C576C">
                        <w:rPr>
                          <w:rFonts w:ascii="Arial" w:hAnsi="Arial" w:cs="Arial"/>
                          <w:iCs/>
                          <w:color w:val="000000"/>
                          <w:sz w:val="12"/>
                          <w:szCs w:val="12"/>
                          <w:lang w:val="es-MX" w:eastAsia="es-MX"/>
                        </w:rPr>
                        <w:t>,</w:t>
                      </w:r>
                      <w:r w:rsidR="0090287E" w:rsidRPr="0048521B">
                        <w:rPr>
                          <w:rFonts w:ascii="Arial" w:hAnsi="Arial" w:cs="Arial"/>
                          <w:iCs/>
                          <w:color w:val="000000"/>
                          <w:sz w:val="12"/>
                          <w:szCs w:val="12"/>
                          <w:lang w:val="es-MX" w:eastAsia="es-MX"/>
                        </w:rPr>
                        <w:t xml:space="preserve"> 2° trimestre de 2005</w:t>
                      </w:r>
                      <w:r w:rsidR="0090287E" w:rsidRPr="00B53A5A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  <w:lang w:val="es-MX" w:eastAsia="es-MX"/>
                        </w:rPr>
                        <w:t xml:space="preserve">, </w:t>
                      </w:r>
                      <w:r w:rsidR="00902080" w:rsidRPr="00B53A5A">
                        <w:rPr>
                          <w:rFonts w:ascii="Arial" w:hAnsi="Arial" w:cs="Arial"/>
                          <w:iCs/>
                          <w:color w:val="000000"/>
                          <w:sz w:val="12"/>
                          <w:szCs w:val="12"/>
                          <w:lang w:val="es-MX" w:eastAsia="es-MX"/>
                        </w:rPr>
                        <w:t>2010</w:t>
                      </w:r>
                      <w:r w:rsidR="009F1ED2" w:rsidRPr="00B53A5A">
                        <w:rPr>
                          <w:rFonts w:ascii="Arial" w:hAnsi="Arial" w:cs="Arial"/>
                          <w:iCs/>
                          <w:color w:val="000000"/>
                          <w:sz w:val="12"/>
                          <w:szCs w:val="12"/>
                          <w:lang w:val="es-MX" w:eastAsia="es-MX"/>
                        </w:rPr>
                        <w:t>-</w:t>
                      </w:r>
                      <w:r w:rsidR="00FD128D" w:rsidRPr="00B53A5A">
                        <w:rPr>
                          <w:rFonts w:ascii="Arial" w:hAnsi="Arial" w:cs="Arial"/>
                          <w:iCs/>
                          <w:color w:val="000000"/>
                          <w:sz w:val="12"/>
                          <w:szCs w:val="12"/>
                          <w:lang w:val="es-419" w:eastAsia="es-MX"/>
                        </w:rPr>
                        <w:t>2015</w:t>
                      </w:r>
                      <w:r w:rsidRPr="00273A7A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s-MX" w:eastAsia="es-MX"/>
                        </w:rPr>
                        <w:t xml:space="preserve">, </w:t>
                      </w:r>
                      <w:r w:rsidR="003F68BE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s-MX" w:eastAsia="es-MX"/>
                        </w:rPr>
                        <w:t>2017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s-MX" w:eastAsia="es-MX"/>
                        </w:rPr>
                        <w:t xml:space="preserve"> y</w:t>
                      </w:r>
                      <w:r w:rsidR="00D11500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s-MX" w:eastAsia="es-MX"/>
                        </w:rPr>
                        <w:t xml:space="preserve"> 2018</w:t>
                      </w:r>
                      <w:r w:rsidR="007C576C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s-MX" w:eastAsia="es-MX"/>
                        </w:rPr>
                        <w:t xml:space="preserve"> (INEGI, </w:t>
                      </w:r>
                      <w:r w:rsidR="00C17991">
                        <w:rPr>
                          <w:rFonts w:ascii="Arial" w:hAnsi="Arial" w:cs="Arial"/>
                          <w:smallCaps/>
                          <w:color w:val="000000"/>
                          <w:sz w:val="12"/>
                          <w:szCs w:val="12"/>
                          <w:lang w:val="es-MX" w:eastAsia="es-MX"/>
                        </w:rPr>
                        <w:t>2005, 2010-2015</w:t>
                      </w:r>
                      <w:r w:rsidR="003F68BE">
                        <w:rPr>
                          <w:rFonts w:ascii="Arial" w:hAnsi="Arial" w:cs="Arial"/>
                          <w:smallCaps/>
                          <w:color w:val="000000"/>
                          <w:sz w:val="12"/>
                          <w:szCs w:val="12"/>
                          <w:lang w:val="es-MX" w:eastAsia="es-MX"/>
                        </w:rPr>
                        <w:t>, 2017</w:t>
                      </w:r>
                      <w:r w:rsidR="007C576C" w:rsidRPr="004B5B7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s-MX" w:eastAsia="es-MX"/>
                        </w:rPr>
                        <w:t xml:space="preserve"> y</w:t>
                      </w:r>
                      <w:r w:rsidR="00D11500">
                        <w:rPr>
                          <w:rFonts w:ascii="Arial" w:hAnsi="Arial" w:cs="Arial"/>
                          <w:smallCaps/>
                          <w:color w:val="000000"/>
                          <w:sz w:val="12"/>
                          <w:szCs w:val="12"/>
                          <w:lang w:val="es-MX" w:eastAsia="es-MX"/>
                        </w:rPr>
                        <w:t xml:space="preserve"> 2018</w:t>
                      </w:r>
                      <w:r w:rsidR="00E96DBB" w:rsidRPr="004B5B7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s-MX" w:eastAsia="es-MX"/>
                        </w:rPr>
                        <w:t>a</w:t>
                      </w:r>
                      <w:r w:rsidR="00C17991">
                        <w:rPr>
                          <w:rFonts w:ascii="Arial" w:hAnsi="Arial" w:cs="Arial"/>
                          <w:smallCaps/>
                          <w:color w:val="000000"/>
                          <w:sz w:val="12"/>
                          <w:szCs w:val="12"/>
                          <w:lang w:val="es-MX" w:eastAsia="es-MX"/>
                        </w:rPr>
                        <w:t>)</w:t>
                      </w:r>
                      <w:r w:rsidRPr="00273A7A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s-MX" w:eastAsia="es-MX"/>
                        </w:rPr>
                        <w:t>.</w:t>
                      </w:r>
                    </w:p>
                    <w:p w:rsidR="00BB021D" w:rsidRPr="004E0682" w:rsidRDefault="00BB021D" w:rsidP="00E6098D">
                      <w:pPr>
                        <w:ind w:right="10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E6098D" w:rsidRPr="00EB0BA6" w:rsidRDefault="00E6098D" w:rsidP="00E6098D">
                      <w:pPr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:rsidR="00E6098D" w:rsidRPr="00620E09" w:rsidRDefault="00E6098D" w:rsidP="00E6098D">
                      <w:pPr>
                        <w:pStyle w:val="Encabezado"/>
                        <w:tabs>
                          <w:tab w:val="left" w:pos="4500"/>
                          <w:tab w:val="left" w:pos="4680"/>
                        </w:tabs>
                        <w:spacing w:before="120"/>
                        <w:ind w:right="113"/>
                        <w:jc w:val="both"/>
                        <w:rPr>
                          <w:rFonts w:cs="Arial"/>
                          <w:sz w:val="12"/>
                          <w:szCs w:val="1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6098D" w:rsidRPr="00F4237E" w:rsidRDefault="00E6098D" w:rsidP="00E6098D">
      <w:pPr>
        <w:rPr>
          <w:rFonts w:ascii="Arial" w:hAnsi="Arial" w:cs="Arial"/>
          <w:sz w:val="16"/>
          <w:szCs w:val="16"/>
        </w:rPr>
      </w:pPr>
    </w:p>
    <w:p w:rsidR="00E6098D" w:rsidRPr="00F4237E" w:rsidRDefault="00E6098D" w:rsidP="00E6098D">
      <w:pPr>
        <w:rPr>
          <w:rFonts w:ascii="Arial" w:hAnsi="Arial" w:cs="Arial"/>
          <w:sz w:val="16"/>
          <w:szCs w:val="16"/>
        </w:rPr>
      </w:pPr>
    </w:p>
    <w:p w:rsidR="00E6098D" w:rsidRPr="00F4237E" w:rsidRDefault="00E6098D" w:rsidP="00E6098D">
      <w:pPr>
        <w:rPr>
          <w:rFonts w:ascii="Arial" w:hAnsi="Arial" w:cs="Arial"/>
        </w:rPr>
      </w:pPr>
    </w:p>
    <w:p w:rsidR="00E6098D" w:rsidRPr="00F4237E" w:rsidRDefault="00E6098D" w:rsidP="00E6098D">
      <w:pPr>
        <w:rPr>
          <w:rFonts w:ascii="Arial" w:hAnsi="Arial" w:cs="Arial"/>
        </w:rPr>
      </w:pPr>
    </w:p>
    <w:p w:rsidR="00E6098D" w:rsidRPr="00F4237E" w:rsidRDefault="00E6098D" w:rsidP="00E6098D">
      <w:pPr>
        <w:rPr>
          <w:rFonts w:ascii="Arial" w:hAnsi="Arial" w:cs="Arial"/>
        </w:rPr>
      </w:pPr>
    </w:p>
    <w:p w:rsidR="00E6098D" w:rsidRPr="00F4237E" w:rsidRDefault="00E6098D" w:rsidP="00E6098D">
      <w:pPr>
        <w:rPr>
          <w:rFonts w:ascii="Arial" w:hAnsi="Arial" w:cs="Arial"/>
        </w:rPr>
      </w:pP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</w:p>
    <w:p w:rsidR="00E6098D" w:rsidRPr="00F4237E" w:rsidRDefault="00E6098D" w:rsidP="00E6098D">
      <w:pPr>
        <w:rPr>
          <w:rFonts w:ascii="Arial" w:hAnsi="Arial" w:cs="Arial"/>
        </w:rPr>
      </w:pP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  <w:r w:rsidRPr="00F4237E">
        <w:rPr>
          <w:rFonts w:ascii="Arial" w:hAnsi="Arial" w:cs="Arial"/>
        </w:rPr>
        <w:tab/>
      </w:r>
    </w:p>
    <w:p w:rsidR="00E6098D" w:rsidRPr="00F4237E" w:rsidRDefault="00E6098D" w:rsidP="00E6098D">
      <w:pPr>
        <w:rPr>
          <w:rFonts w:ascii="Arial" w:hAnsi="Arial" w:cs="Arial"/>
        </w:rPr>
      </w:pPr>
    </w:p>
    <w:p w:rsidR="00E6098D" w:rsidRPr="00F4237E" w:rsidRDefault="00E6098D" w:rsidP="00E6098D"/>
    <w:p w:rsidR="00E6098D" w:rsidRPr="00F4237E" w:rsidRDefault="00E6098D" w:rsidP="00E6098D"/>
    <w:p w:rsidR="00E6098D" w:rsidRPr="00F4237E" w:rsidRDefault="00E6098D" w:rsidP="00E6098D"/>
    <w:p w:rsidR="00E6098D" w:rsidRPr="00F4237E" w:rsidRDefault="00E6098D" w:rsidP="00E6098D"/>
    <w:p w:rsidR="00E6098D" w:rsidRPr="00F4237E" w:rsidRDefault="00E6098D" w:rsidP="00E6098D"/>
    <w:p w:rsidR="00E6098D" w:rsidRDefault="00E6098D" w:rsidP="00E6098D"/>
    <w:p w:rsidR="00905E8E" w:rsidRDefault="00905E8E" w:rsidP="00E6098D"/>
    <w:p w:rsidR="00905E8E" w:rsidRDefault="00905E8E" w:rsidP="00E6098D"/>
    <w:p w:rsidR="00905E8E" w:rsidRDefault="00905E8E" w:rsidP="00E6098D"/>
    <w:p w:rsidR="00905E8E" w:rsidRDefault="00905E8E" w:rsidP="00E6098D"/>
    <w:p w:rsidR="00905E8E" w:rsidRDefault="00905E8E" w:rsidP="00E6098D"/>
    <w:p w:rsidR="00905E8E" w:rsidRDefault="00905E8E" w:rsidP="00E6098D"/>
    <w:p w:rsidR="00905E8E" w:rsidRPr="00B53A5A" w:rsidRDefault="00905E8E" w:rsidP="00E6098D">
      <w:pPr>
        <w:rPr>
          <w:i/>
        </w:rPr>
      </w:pPr>
    </w:p>
    <w:sectPr w:rsidR="00905E8E" w:rsidRPr="00B53A5A" w:rsidSect="00E4079F">
      <w:pgSz w:w="12242" w:h="15842" w:code="1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kzidenz Grotesk BE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kzidenz Grotesk BE">
    <w:altName w:val="Akzidenz Grotesk B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kzidenz Grotesk BE Bold">
    <w:altName w:val="Akzidenz Grotesk BE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314C7"/>
    <w:multiLevelType w:val="hybridMultilevel"/>
    <w:tmpl w:val="9C889EC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501"/>
    <w:rsid w:val="0002074E"/>
    <w:rsid w:val="00021D42"/>
    <w:rsid w:val="000257F8"/>
    <w:rsid w:val="000330CA"/>
    <w:rsid w:val="00035A09"/>
    <w:rsid w:val="00052556"/>
    <w:rsid w:val="00065303"/>
    <w:rsid w:val="00071030"/>
    <w:rsid w:val="00090D12"/>
    <w:rsid w:val="0009430E"/>
    <w:rsid w:val="000B4CE9"/>
    <w:rsid w:val="000C06DE"/>
    <w:rsid w:val="000E6EAD"/>
    <w:rsid w:val="000F5501"/>
    <w:rsid w:val="001070E9"/>
    <w:rsid w:val="00110726"/>
    <w:rsid w:val="00113526"/>
    <w:rsid w:val="001146D7"/>
    <w:rsid w:val="001149B1"/>
    <w:rsid w:val="00115FC3"/>
    <w:rsid w:val="00123569"/>
    <w:rsid w:val="00136C56"/>
    <w:rsid w:val="0013735B"/>
    <w:rsid w:val="00146453"/>
    <w:rsid w:val="00150D77"/>
    <w:rsid w:val="00152DD1"/>
    <w:rsid w:val="00156B73"/>
    <w:rsid w:val="001666CC"/>
    <w:rsid w:val="001705FB"/>
    <w:rsid w:val="00171629"/>
    <w:rsid w:val="0017567C"/>
    <w:rsid w:val="001A0167"/>
    <w:rsid w:val="001A4AD3"/>
    <w:rsid w:val="001C4E9A"/>
    <w:rsid w:val="001D3409"/>
    <w:rsid w:val="001D35F3"/>
    <w:rsid w:val="001D3619"/>
    <w:rsid w:val="001D5CDD"/>
    <w:rsid w:val="001D6D19"/>
    <w:rsid w:val="001E6E2F"/>
    <w:rsid w:val="001F0AC7"/>
    <w:rsid w:val="001F15F3"/>
    <w:rsid w:val="001F2490"/>
    <w:rsid w:val="001F4518"/>
    <w:rsid w:val="001F5713"/>
    <w:rsid w:val="001F591C"/>
    <w:rsid w:val="00200A3C"/>
    <w:rsid w:val="00234B4A"/>
    <w:rsid w:val="00235041"/>
    <w:rsid w:val="0025239E"/>
    <w:rsid w:val="002524A9"/>
    <w:rsid w:val="00264501"/>
    <w:rsid w:val="00273A7A"/>
    <w:rsid w:val="00275E41"/>
    <w:rsid w:val="00276568"/>
    <w:rsid w:val="002774BC"/>
    <w:rsid w:val="00284B62"/>
    <w:rsid w:val="002872F9"/>
    <w:rsid w:val="00287ABB"/>
    <w:rsid w:val="002938AB"/>
    <w:rsid w:val="0029419C"/>
    <w:rsid w:val="002C2B61"/>
    <w:rsid w:val="002C316A"/>
    <w:rsid w:val="002D23C0"/>
    <w:rsid w:val="002E2761"/>
    <w:rsid w:val="002E327E"/>
    <w:rsid w:val="002F0654"/>
    <w:rsid w:val="002F7000"/>
    <w:rsid w:val="00307A5E"/>
    <w:rsid w:val="0031241B"/>
    <w:rsid w:val="00323369"/>
    <w:rsid w:val="0032562A"/>
    <w:rsid w:val="003262A0"/>
    <w:rsid w:val="003264A5"/>
    <w:rsid w:val="00344285"/>
    <w:rsid w:val="00347A4D"/>
    <w:rsid w:val="00355DA5"/>
    <w:rsid w:val="00361B85"/>
    <w:rsid w:val="0036761A"/>
    <w:rsid w:val="00387BEF"/>
    <w:rsid w:val="00391179"/>
    <w:rsid w:val="00391C35"/>
    <w:rsid w:val="003978B9"/>
    <w:rsid w:val="003A15BE"/>
    <w:rsid w:val="003B1A70"/>
    <w:rsid w:val="003B420F"/>
    <w:rsid w:val="003C02AA"/>
    <w:rsid w:val="003C092C"/>
    <w:rsid w:val="003C2C94"/>
    <w:rsid w:val="003C4411"/>
    <w:rsid w:val="003E3616"/>
    <w:rsid w:val="003E5215"/>
    <w:rsid w:val="003F4147"/>
    <w:rsid w:val="003F68BE"/>
    <w:rsid w:val="00415637"/>
    <w:rsid w:val="00417D6E"/>
    <w:rsid w:val="0042429F"/>
    <w:rsid w:val="004255F6"/>
    <w:rsid w:val="00430793"/>
    <w:rsid w:val="00431570"/>
    <w:rsid w:val="00446640"/>
    <w:rsid w:val="00456056"/>
    <w:rsid w:val="00461E94"/>
    <w:rsid w:val="00463699"/>
    <w:rsid w:val="00464575"/>
    <w:rsid w:val="00465E38"/>
    <w:rsid w:val="00470ACB"/>
    <w:rsid w:val="004718F9"/>
    <w:rsid w:val="00475A5F"/>
    <w:rsid w:val="00480AC0"/>
    <w:rsid w:val="0048521B"/>
    <w:rsid w:val="004A27C1"/>
    <w:rsid w:val="004A3860"/>
    <w:rsid w:val="004B0498"/>
    <w:rsid w:val="004B4511"/>
    <w:rsid w:val="004B5B75"/>
    <w:rsid w:val="004C37CE"/>
    <w:rsid w:val="004D4B63"/>
    <w:rsid w:val="004D5309"/>
    <w:rsid w:val="004E0682"/>
    <w:rsid w:val="004E0ADA"/>
    <w:rsid w:val="004E0DF1"/>
    <w:rsid w:val="004E4A5D"/>
    <w:rsid w:val="004E4A70"/>
    <w:rsid w:val="004E5E42"/>
    <w:rsid w:val="004E65FE"/>
    <w:rsid w:val="004F0FAB"/>
    <w:rsid w:val="004F4A5F"/>
    <w:rsid w:val="004F51F8"/>
    <w:rsid w:val="004F78F3"/>
    <w:rsid w:val="005019D7"/>
    <w:rsid w:val="005023B9"/>
    <w:rsid w:val="00502D7D"/>
    <w:rsid w:val="00512362"/>
    <w:rsid w:val="00512926"/>
    <w:rsid w:val="00512D5D"/>
    <w:rsid w:val="00512F3E"/>
    <w:rsid w:val="00514768"/>
    <w:rsid w:val="00516364"/>
    <w:rsid w:val="005304B0"/>
    <w:rsid w:val="00534CA0"/>
    <w:rsid w:val="0053693C"/>
    <w:rsid w:val="005540CB"/>
    <w:rsid w:val="005600A5"/>
    <w:rsid w:val="00564430"/>
    <w:rsid w:val="00564EC8"/>
    <w:rsid w:val="005717A6"/>
    <w:rsid w:val="00580207"/>
    <w:rsid w:val="00580840"/>
    <w:rsid w:val="00586D16"/>
    <w:rsid w:val="005906DF"/>
    <w:rsid w:val="00594676"/>
    <w:rsid w:val="005B5ED2"/>
    <w:rsid w:val="005E7B2B"/>
    <w:rsid w:val="005F079E"/>
    <w:rsid w:val="00607135"/>
    <w:rsid w:val="00612C5F"/>
    <w:rsid w:val="006161E4"/>
    <w:rsid w:val="0061775B"/>
    <w:rsid w:val="00617834"/>
    <w:rsid w:val="00620E09"/>
    <w:rsid w:val="006267B6"/>
    <w:rsid w:val="00626923"/>
    <w:rsid w:val="006322F3"/>
    <w:rsid w:val="00655848"/>
    <w:rsid w:val="006575BA"/>
    <w:rsid w:val="00674070"/>
    <w:rsid w:val="006877EA"/>
    <w:rsid w:val="0069512B"/>
    <w:rsid w:val="006A0543"/>
    <w:rsid w:val="006A612C"/>
    <w:rsid w:val="006B27E1"/>
    <w:rsid w:val="006B2828"/>
    <w:rsid w:val="006F2A34"/>
    <w:rsid w:val="00700EFB"/>
    <w:rsid w:val="0070476A"/>
    <w:rsid w:val="00715D1F"/>
    <w:rsid w:val="00715FFC"/>
    <w:rsid w:val="00717732"/>
    <w:rsid w:val="00730E89"/>
    <w:rsid w:val="00736849"/>
    <w:rsid w:val="00736E4F"/>
    <w:rsid w:val="00742A9F"/>
    <w:rsid w:val="00747AE9"/>
    <w:rsid w:val="0075447A"/>
    <w:rsid w:val="00755114"/>
    <w:rsid w:val="00757EC3"/>
    <w:rsid w:val="007738B8"/>
    <w:rsid w:val="00773A5B"/>
    <w:rsid w:val="00780162"/>
    <w:rsid w:val="007A3455"/>
    <w:rsid w:val="007A561A"/>
    <w:rsid w:val="007C576C"/>
    <w:rsid w:val="007D1475"/>
    <w:rsid w:val="007D1534"/>
    <w:rsid w:val="007D3149"/>
    <w:rsid w:val="007F2563"/>
    <w:rsid w:val="007F368D"/>
    <w:rsid w:val="008004EC"/>
    <w:rsid w:val="0080373C"/>
    <w:rsid w:val="008066CC"/>
    <w:rsid w:val="008125D4"/>
    <w:rsid w:val="0081310A"/>
    <w:rsid w:val="00814B92"/>
    <w:rsid w:val="00815731"/>
    <w:rsid w:val="00824076"/>
    <w:rsid w:val="0082714F"/>
    <w:rsid w:val="00827DB8"/>
    <w:rsid w:val="0083411B"/>
    <w:rsid w:val="00834438"/>
    <w:rsid w:val="008358FB"/>
    <w:rsid w:val="00845D42"/>
    <w:rsid w:val="00845DD9"/>
    <w:rsid w:val="00847CC1"/>
    <w:rsid w:val="00851075"/>
    <w:rsid w:val="00855B58"/>
    <w:rsid w:val="00873D10"/>
    <w:rsid w:val="00880957"/>
    <w:rsid w:val="008925CA"/>
    <w:rsid w:val="0089313A"/>
    <w:rsid w:val="00896D90"/>
    <w:rsid w:val="008A7152"/>
    <w:rsid w:val="008B09DD"/>
    <w:rsid w:val="008B4998"/>
    <w:rsid w:val="008C0EC8"/>
    <w:rsid w:val="008C6E44"/>
    <w:rsid w:val="008F59B5"/>
    <w:rsid w:val="00902080"/>
    <w:rsid w:val="0090287E"/>
    <w:rsid w:val="00902B22"/>
    <w:rsid w:val="00903CAE"/>
    <w:rsid w:val="00905E8E"/>
    <w:rsid w:val="00912E94"/>
    <w:rsid w:val="00926EAD"/>
    <w:rsid w:val="009433D6"/>
    <w:rsid w:val="00943906"/>
    <w:rsid w:val="00947E9B"/>
    <w:rsid w:val="00956DE7"/>
    <w:rsid w:val="00961DB7"/>
    <w:rsid w:val="00962497"/>
    <w:rsid w:val="0096522C"/>
    <w:rsid w:val="00973C38"/>
    <w:rsid w:val="00974CD5"/>
    <w:rsid w:val="009807C0"/>
    <w:rsid w:val="00985F39"/>
    <w:rsid w:val="00986994"/>
    <w:rsid w:val="00994AF8"/>
    <w:rsid w:val="0099651B"/>
    <w:rsid w:val="009976C8"/>
    <w:rsid w:val="009A03AC"/>
    <w:rsid w:val="009A2A9C"/>
    <w:rsid w:val="009B4BB0"/>
    <w:rsid w:val="009B4CAA"/>
    <w:rsid w:val="009B6371"/>
    <w:rsid w:val="009C1B70"/>
    <w:rsid w:val="009D321C"/>
    <w:rsid w:val="009F070C"/>
    <w:rsid w:val="009F1ED2"/>
    <w:rsid w:val="009F5B9A"/>
    <w:rsid w:val="009F641C"/>
    <w:rsid w:val="009F7072"/>
    <w:rsid w:val="009F75F2"/>
    <w:rsid w:val="00A126F6"/>
    <w:rsid w:val="00A33157"/>
    <w:rsid w:val="00A3322F"/>
    <w:rsid w:val="00A3633D"/>
    <w:rsid w:val="00A4335C"/>
    <w:rsid w:val="00A43DAD"/>
    <w:rsid w:val="00A47671"/>
    <w:rsid w:val="00A54A53"/>
    <w:rsid w:val="00A65726"/>
    <w:rsid w:val="00A720D9"/>
    <w:rsid w:val="00A72326"/>
    <w:rsid w:val="00A74598"/>
    <w:rsid w:val="00AA0CCC"/>
    <w:rsid w:val="00AA2D28"/>
    <w:rsid w:val="00AA52F9"/>
    <w:rsid w:val="00AB629B"/>
    <w:rsid w:val="00AD1856"/>
    <w:rsid w:val="00AD2D9F"/>
    <w:rsid w:val="00AE1A53"/>
    <w:rsid w:val="00AE35CA"/>
    <w:rsid w:val="00B02372"/>
    <w:rsid w:val="00B02577"/>
    <w:rsid w:val="00B0746D"/>
    <w:rsid w:val="00B135AB"/>
    <w:rsid w:val="00B1485F"/>
    <w:rsid w:val="00B17129"/>
    <w:rsid w:val="00B25442"/>
    <w:rsid w:val="00B44E86"/>
    <w:rsid w:val="00B45F2C"/>
    <w:rsid w:val="00B53A5A"/>
    <w:rsid w:val="00B53B51"/>
    <w:rsid w:val="00B562C7"/>
    <w:rsid w:val="00B57004"/>
    <w:rsid w:val="00B67273"/>
    <w:rsid w:val="00B72D5E"/>
    <w:rsid w:val="00B736C5"/>
    <w:rsid w:val="00B8024A"/>
    <w:rsid w:val="00B93FE7"/>
    <w:rsid w:val="00BA58BE"/>
    <w:rsid w:val="00BA77DA"/>
    <w:rsid w:val="00BB021D"/>
    <w:rsid w:val="00BB2C68"/>
    <w:rsid w:val="00BB34B2"/>
    <w:rsid w:val="00BC31CD"/>
    <w:rsid w:val="00BC3D1D"/>
    <w:rsid w:val="00BC774A"/>
    <w:rsid w:val="00BE72B5"/>
    <w:rsid w:val="00BF3534"/>
    <w:rsid w:val="00C042BF"/>
    <w:rsid w:val="00C04859"/>
    <w:rsid w:val="00C11B81"/>
    <w:rsid w:val="00C17991"/>
    <w:rsid w:val="00C232EF"/>
    <w:rsid w:val="00C279E9"/>
    <w:rsid w:val="00C35023"/>
    <w:rsid w:val="00C41BFD"/>
    <w:rsid w:val="00C52F85"/>
    <w:rsid w:val="00C73CEC"/>
    <w:rsid w:val="00C77493"/>
    <w:rsid w:val="00C81E1E"/>
    <w:rsid w:val="00C8595A"/>
    <w:rsid w:val="00C861D7"/>
    <w:rsid w:val="00CA601E"/>
    <w:rsid w:val="00CB16DB"/>
    <w:rsid w:val="00CB2D33"/>
    <w:rsid w:val="00CB55C2"/>
    <w:rsid w:val="00CB7AA6"/>
    <w:rsid w:val="00CC41A4"/>
    <w:rsid w:val="00CC6362"/>
    <w:rsid w:val="00CD0A3C"/>
    <w:rsid w:val="00CD1A4D"/>
    <w:rsid w:val="00CE6227"/>
    <w:rsid w:val="00CF1DF5"/>
    <w:rsid w:val="00CF20F3"/>
    <w:rsid w:val="00CF389F"/>
    <w:rsid w:val="00D02CA5"/>
    <w:rsid w:val="00D11500"/>
    <w:rsid w:val="00D154BC"/>
    <w:rsid w:val="00D25C7E"/>
    <w:rsid w:val="00D443B4"/>
    <w:rsid w:val="00D47C38"/>
    <w:rsid w:val="00D54787"/>
    <w:rsid w:val="00D5501D"/>
    <w:rsid w:val="00D63350"/>
    <w:rsid w:val="00D73524"/>
    <w:rsid w:val="00D837A5"/>
    <w:rsid w:val="00D9078D"/>
    <w:rsid w:val="00D9226B"/>
    <w:rsid w:val="00D93F8B"/>
    <w:rsid w:val="00DA3101"/>
    <w:rsid w:val="00DA3F53"/>
    <w:rsid w:val="00DC1BB0"/>
    <w:rsid w:val="00DC22A3"/>
    <w:rsid w:val="00DD57ED"/>
    <w:rsid w:val="00DE317D"/>
    <w:rsid w:val="00DE5E59"/>
    <w:rsid w:val="00DE76AB"/>
    <w:rsid w:val="00DF5818"/>
    <w:rsid w:val="00DF72D3"/>
    <w:rsid w:val="00E05831"/>
    <w:rsid w:val="00E0698D"/>
    <w:rsid w:val="00E07CFB"/>
    <w:rsid w:val="00E2534B"/>
    <w:rsid w:val="00E267B4"/>
    <w:rsid w:val="00E3005C"/>
    <w:rsid w:val="00E32B40"/>
    <w:rsid w:val="00E37A55"/>
    <w:rsid w:val="00E4079F"/>
    <w:rsid w:val="00E418AB"/>
    <w:rsid w:val="00E425CC"/>
    <w:rsid w:val="00E43F2F"/>
    <w:rsid w:val="00E45477"/>
    <w:rsid w:val="00E46706"/>
    <w:rsid w:val="00E55633"/>
    <w:rsid w:val="00E6098D"/>
    <w:rsid w:val="00E634CA"/>
    <w:rsid w:val="00E66580"/>
    <w:rsid w:val="00E708DE"/>
    <w:rsid w:val="00E82F01"/>
    <w:rsid w:val="00E8460F"/>
    <w:rsid w:val="00E8506F"/>
    <w:rsid w:val="00E95430"/>
    <w:rsid w:val="00E96DBB"/>
    <w:rsid w:val="00EB0086"/>
    <w:rsid w:val="00EB0BA6"/>
    <w:rsid w:val="00EB738E"/>
    <w:rsid w:val="00EC3C30"/>
    <w:rsid w:val="00EC7205"/>
    <w:rsid w:val="00ED1834"/>
    <w:rsid w:val="00EE2BAB"/>
    <w:rsid w:val="00EF7C18"/>
    <w:rsid w:val="00F03892"/>
    <w:rsid w:val="00F10F44"/>
    <w:rsid w:val="00F14E62"/>
    <w:rsid w:val="00F15049"/>
    <w:rsid w:val="00F34877"/>
    <w:rsid w:val="00F40236"/>
    <w:rsid w:val="00F4237E"/>
    <w:rsid w:val="00F57579"/>
    <w:rsid w:val="00F65491"/>
    <w:rsid w:val="00F83415"/>
    <w:rsid w:val="00F86996"/>
    <w:rsid w:val="00F9644B"/>
    <w:rsid w:val="00F964FD"/>
    <w:rsid w:val="00FD128D"/>
    <w:rsid w:val="00FE6E25"/>
    <w:rsid w:val="00FF0BD1"/>
    <w:rsid w:val="00FF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0DD0E5-928A-4E1F-8566-B18D8B51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098D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64501"/>
    <w:pPr>
      <w:keepNext/>
      <w:ind w:right="37"/>
      <w:jc w:val="both"/>
      <w:outlineLvl w:val="0"/>
    </w:pPr>
    <w:rPr>
      <w:rFonts w:ascii="Tahoma" w:hAnsi="Tahoma" w:cs="Tahoma"/>
      <w:i/>
      <w:sz w:val="20"/>
    </w:rPr>
  </w:style>
  <w:style w:type="paragraph" w:styleId="Ttulo3">
    <w:name w:val="heading 3"/>
    <w:basedOn w:val="Normal"/>
    <w:next w:val="Normal"/>
    <w:qFormat/>
    <w:rsid w:val="001666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64501"/>
    <w:pPr>
      <w:tabs>
        <w:tab w:val="center" w:pos="4419"/>
        <w:tab w:val="right" w:pos="8838"/>
      </w:tabs>
    </w:pPr>
    <w:rPr>
      <w:rFonts w:ascii="Arial" w:hAnsi="Arial"/>
    </w:rPr>
  </w:style>
  <w:style w:type="character" w:styleId="Hipervnculo">
    <w:name w:val="Hyperlink"/>
    <w:rsid w:val="000257F8"/>
    <w:rPr>
      <w:color w:val="0000FF"/>
      <w:u w:val="single"/>
    </w:rPr>
  </w:style>
  <w:style w:type="paragraph" w:styleId="Textodeglobo">
    <w:name w:val="Balloon Text"/>
    <w:basedOn w:val="Normal"/>
    <w:semiHidden/>
    <w:rsid w:val="00C04859"/>
    <w:rPr>
      <w:rFonts w:ascii="Tahoma" w:hAnsi="Tahoma" w:cs="Tahoma"/>
      <w:sz w:val="16"/>
      <w:szCs w:val="16"/>
    </w:rPr>
  </w:style>
  <w:style w:type="character" w:styleId="Hipervnculovisitado">
    <w:name w:val="FollowedHyperlink"/>
    <w:rsid w:val="00A72326"/>
    <w:rPr>
      <w:color w:val="800080"/>
      <w:u w:val="single"/>
    </w:rPr>
  </w:style>
  <w:style w:type="table" w:styleId="Tablaconcuadrcula">
    <w:name w:val="Table Grid"/>
    <w:basedOn w:val="Tablanormal"/>
    <w:rsid w:val="00166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F0BD1"/>
    <w:rPr>
      <w:sz w:val="16"/>
      <w:szCs w:val="16"/>
    </w:rPr>
  </w:style>
  <w:style w:type="paragraph" w:styleId="Textocomentario">
    <w:name w:val="annotation text"/>
    <w:basedOn w:val="Normal"/>
    <w:semiHidden/>
    <w:rsid w:val="00FF0BD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22A3"/>
    <w:rPr>
      <w:b/>
      <w:bCs/>
    </w:rPr>
  </w:style>
  <w:style w:type="character" w:customStyle="1" w:styleId="EncabezadoCar">
    <w:name w:val="Encabezado Car"/>
    <w:link w:val="Encabezado"/>
    <w:locked/>
    <w:rsid w:val="00E6098D"/>
    <w:rPr>
      <w:rFonts w:ascii="Arial" w:hAnsi="Arial"/>
      <w:sz w:val="24"/>
      <w:szCs w:val="24"/>
      <w:lang w:val="es-ES" w:eastAsia="es-ES" w:bidi="ar-SA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475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MX" w:eastAsia="es-MX"/>
    </w:rPr>
  </w:style>
  <w:style w:type="character" w:customStyle="1" w:styleId="HTMLconformatoprevioCar">
    <w:name w:val="HTML con formato previo Car"/>
    <w:link w:val="HTMLconformatoprevio"/>
    <w:uiPriority w:val="99"/>
    <w:rsid w:val="00475A5F"/>
    <w:rPr>
      <w:rFonts w:ascii="Courier New" w:hAnsi="Courier New" w:cs="Courier New"/>
    </w:rPr>
  </w:style>
  <w:style w:type="character" w:customStyle="1" w:styleId="A23">
    <w:name w:val="A23"/>
    <w:uiPriority w:val="99"/>
    <w:rsid w:val="00273A7A"/>
    <w:rPr>
      <w:rFonts w:cs="Akzidenz Grotesk BE Light"/>
      <w:color w:val="000000"/>
      <w:sz w:val="11"/>
      <w:szCs w:val="11"/>
    </w:rPr>
  </w:style>
  <w:style w:type="paragraph" w:customStyle="1" w:styleId="Pa8">
    <w:name w:val="Pa8"/>
    <w:basedOn w:val="Normal"/>
    <w:next w:val="Normal"/>
    <w:uiPriority w:val="99"/>
    <w:rsid w:val="00273A7A"/>
    <w:pPr>
      <w:autoSpaceDE w:val="0"/>
      <w:autoSpaceDN w:val="0"/>
      <w:adjustRightInd w:val="0"/>
      <w:spacing w:line="161" w:lineRule="atLeast"/>
    </w:pPr>
    <w:rPr>
      <w:rFonts w:ascii="Akzidenz Grotesk BE" w:hAnsi="Akzidenz Grotesk BE"/>
      <w:lang w:val="es-MX" w:eastAsia="es-MX"/>
    </w:rPr>
  </w:style>
  <w:style w:type="paragraph" w:customStyle="1" w:styleId="Pa26">
    <w:name w:val="Pa26"/>
    <w:basedOn w:val="Normal"/>
    <w:next w:val="Normal"/>
    <w:uiPriority w:val="99"/>
    <w:rsid w:val="00273A7A"/>
    <w:pPr>
      <w:autoSpaceDE w:val="0"/>
      <w:autoSpaceDN w:val="0"/>
      <w:adjustRightInd w:val="0"/>
      <w:spacing w:line="121" w:lineRule="atLeast"/>
    </w:pPr>
    <w:rPr>
      <w:rFonts w:ascii="Akzidenz Grotesk BE Bold" w:hAnsi="Akzidenz Grotesk BE Bold"/>
      <w:lang w:val="es-MX" w:eastAsia="es-MX"/>
    </w:rPr>
  </w:style>
  <w:style w:type="character" w:customStyle="1" w:styleId="A25">
    <w:name w:val="A25"/>
    <w:uiPriority w:val="99"/>
    <w:rsid w:val="00273A7A"/>
    <w:rPr>
      <w:rFonts w:cs="Akzidenz Grotesk BE Bold"/>
      <w:color w:val="000000"/>
      <w:sz w:val="10"/>
      <w:szCs w:val="10"/>
    </w:rPr>
  </w:style>
  <w:style w:type="paragraph" w:styleId="Revisin">
    <w:name w:val="Revision"/>
    <w:hidden/>
    <w:uiPriority w:val="99"/>
    <w:semiHidden/>
    <w:rsid w:val="00123569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980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3424D-6DB6-469B-B951-0322F4F32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686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indicador:</vt:lpstr>
    </vt:vector>
  </TitlesOfParts>
  <Company>INEE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indicador:</dc:title>
  <dc:subject/>
  <dc:creator>Rubén Sánchez</dc:creator>
  <cp:keywords/>
  <dc:description/>
  <cp:lastModifiedBy>NAA</cp:lastModifiedBy>
  <cp:revision>16</cp:revision>
  <cp:lastPrinted>2016-03-08T21:41:00Z</cp:lastPrinted>
  <dcterms:created xsi:type="dcterms:W3CDTF">2018-12-20T22:50:00Z</dcterms:created>
  <dcterms:modified xsi:type="dcterms:W3CDTF">2019-05-10T01:17:00Z</dcterms:modified>
</cp:coreProperties>
</file>