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4C49" w14:textId="77777777" w:rsidR="00EC2A75" w:rsidRPr="00994B4A" w:rsidRDefault="005729A0">
      <w:r w:rsidRPr="00994B4A">
        <w:rPr>
          <w:rFonts w:cs="Arial"/>
          <w:noProof/>
          <w:sz w:val="16"/>
          <w:szCs w:val="16"/>
          <w:lang w:val="en-US" w:eastAsia="en-US"/>
        </w:rPr>
        <mc:AlternateContent>
          <mc:Choice Requires="wps">
            <w:drawing>
              <wp:anchor distT="0" distB="0" distL="114300" distR="114300" simplePos="0" relativeHeight="251657216" behindDoc="0" locked="0" layoutInCell="1" allowOverlap="1" wp14:anchorId="0202687B" wp14:editId="316EF912">
                <wp:simplePos x="0" y="0"/>
                <wp:positionH relativeFrom="column">
                  <wp:posOffset>-38735</wp:posOffset>
                </wp:positionH>
                <wp:positionV relativeFrom="paragraph">
                  <wp:posOffset>78105</wp:posOffset>
                </wp:positionV>
                <wp:extent cx="904875" cy="273050"/>
                <wp:effectExtent l="0" t="0" r="2857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73050"/>
                        </a:xfrm>
                        <a:prstGeom prst="roundRect">
                          <a:avLst>
                            <a:gd name="adj" fmla="val 16667"/>
                          </a:avLst>
                        </a:prstGeom>
                        <a:solidFill>
                          <a:srgbClr val="FFFFFF"/>
                        </a:solidFill>
                        <a:ln w="9525">
                          <a:solidFill>
                            <a:srgbClr val="000000"/>
                          </a:solidFill>
                          <a:round/>
                          <a:headEnd/>
                          <a:tailEnd/>
                        </a:ln>
                      </wps:spPr>
                      <wps:txbx>
                        <w:txbxContent>
                          <w:p w14:paraId="42F72FFB" w14:textId="77777777" w:rsidR="00EC2A75" w:rsidRPr="00EC2A75" w:rsidRDefault="004F2F95">
                            <w:pPr>
                              <w:rPr>
                                <w:sz w:val="20"/>
                                <w:szCs w:val="20"/>
                              </w:rPr>
                            </w:pPr>
                            <w:r>
                              <w:rPr>
                                <w:sz w:val="20"/>
                                <w:szCs w:val="20"/>
                              </w:rPr>
                              <w:t>AT</w:t>
                            </w:r>
                            <w:r w:rsidR="00073CB3">
                              <w:rPr>
                                <w:sz w:val="20"/>
                                <w:szCs w:val="20"/>
                              </w:rPr>
                              <w:t>0</w:t>
                            </w:r>
                            <w:r w:rsidR="009F6270">
                              <w:rPr>
                                <w:sz w:val="20"/>
                                <w:szCs w:val="20"/>
                              </w:rPr>
                              <w:t>2</w:t>
                            </w:r>
                            <w:r w:rsidR="00BB1A86">
                              <w:rPr>
                                <w:sz w:val="20"/>
                                <w:szCs w:val="20"/>
                              </w:rPr>
                              <w:t>c</w:t>
                            </w:r>
                            <w:r w:rsidR="009F6270">
                              <w:rPr>
                                <w:sz w:val="20"/>
                                <w:szCs w:val="20"/>
                              </w:rPr>
                              <w:t>.2</w:t>
                            </w:r>
                            <w:r w:rsidR="00265F53">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02687B" id="AutoShape 2" o:spid="_x0000_s1026" style="position:absolute;margin-left:-3.05pt;margin-top:6.15pt;width:71.2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">
                <v:textbox>
                  <w:txbxContent>
                    <w:p w14:paraId="42F72FFB" w14:textId="77777777" w:rsidR="00EC2A75" w:rsidRPr="00EC2A75" w:rsidRDefault="004F2F95">
                      <w:pPr>
                        <w:rPr>
                          <w:sz w:val="20"/>
                          <w:szCs w:val="20"/>
                        </w:rPr>
                      </w:pPr>
                      <w:r>
                        <w:rPr>
                          <w:sz w:val="20"/>
                          <w:szCs w:val="20"/>
                        </w:rPr>
                        <w:t>AT</w:t>
                      </w:r>
                      <w:r w:rsidR="00073CB3">
                        <w:rPr>
                          <w:sz w:val="20"/>
                          <w:szCs w:val="20"/>
                        </w:rPr>
                        <w:t>0</w:t>
                      </w:r>
                      <w:r w:rsidR="009F6270">
                        <w:rPr>
                          <w:sz w:val="20"/>
                          <w:szCs w:val="20"/>
                        </w:rPr>
                        <w:t>2</w:t>
                      </w:r>
                      <w:r w:rsidR="00BB1A86">
                        <w:rPr>
                          <w:sz w:val="20"/>
                          <w:szCs w:val="20"/>
                        </w:rPr>
                        <w:t>c</w:t>
                      </w:r>
                      <w:r w:rsidR="009F6270">
                        <w:rPr>
                          <w:sz w:val="20"/>
                          <w:szCs w:val="20"/>
                        </w:rPr>
                        <w:t>.2</w:t>
                      </w:r>
                      <w:r w:rsidR="00265F53">
                        <w:rPr>
                          <w:sz w:val="20"/>
                          <w:szCs w:val="20"/>
                        </w:rPr>
                        <w:t>-A</w:t>
                      </w:r>
                    </w:p>
                  </w:txbxContent>
                </v:textbox>
              </v:roundrect>
            </w:pict>
          </mc:Fallback>
        </mc:AlternateContent>
      </w:r>
    </w:p>
    <w:p w14:paraId="2E5C6935" w14:textId="77777777" w:rsidR="00EC2A75" w:rsidRPr="00994B4A" w:rsidRDefault="00EC2A75"/>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50"/>
      </w:tblGrid>
      <w:tr w:rsidR="001E41A7" w:rsidRPr="00994B4A" w14:paraId="191B031B" w14:textId="77777777">
        <w:trPr>
          <w:trHeight w:val="698"/>
        </w:trPr>
        <w:tc>
          <w:tcPr>
            <w:tcW w:w="8350" w:type="dxa"/>
            <w:tcBorders>
              <w:top w:val="single" w:sz="4" w:space="0" w:color="auto"/>
              <w:left w:val="single" w:sz="4" w:space="0" w:color="auto"/>
              <w:bottom w:val="single" w:sz="4" w:space="0" w:color="auto"/>
              <w:right w:val="single" w:sz="4" w:space="0" w:color="auto"/>
            </w:tcBorders>
            <w:vAlign w:val="center"/>
          </w:tcPr>
          <w:p w14:paraId="2A3CE42E" w14:textId="77777777" w:rsidR="001E41A7" w:rsidRPr="00994B4A" w:rsidRDefault="00F8348E" w:rsidP="00AB31E9">
            <w:pPr>
              <w:tabs>
                <w:tab w:val="left" w:pos="0"/>
              </w:tabs>
              <w:ind w:right="110"/>
              <w:rPr>
                <w:rFonts w:cs="Arial"/>
                <w:b/>
                <w:bCs/>
                <w:sz w:val="16"/>
                <w:szCs w:val="16"/>
              </w:rPr>
            </w:pPr>
            <w:r w:rsidRPr="00994B4A">
              <w:rPr>
                <w:rFonts w:cs="Arial"/>
                <w:b/>
                <w:bCs/>
                <w:sz w:val="16"/>
                <w:szCs w:val="16"/>
              </w:rPr>
              <w:t>Nombre del indicador</w:t>
            </w:r>
          </w:p>
          <w:p w14:paraId="7D0A8EF3" w14:textId="77777777" w:rsidR="001E41A7" w:rsidRPr="00994B4A" w:rsidRDefault="00A64C9E" w:rsidP="00EC2A75">
            <w:pPr>
              <w:rPr>
                <w:rFonts w:cs="Arial"/>
                <w:sz w:val="16"/>
                <w:szCs w:val="16"/>
              </w:rPr>
            </w:pPr>
            <w:r w:rsidRPr="00994B4A">
              <w:rPr>
                <w:rFonts w:cs="Arial"/>
                <w:bCs/>
                <w:sz w:val="16"/>
                <w:szCs w:val="16"/>
              </w:rPr>
              <w:t xml:space="preserve">Porcentaje de alumnos </w:t>
            </w:r>
            <w:r w:rsidR="00C03411" w:rsidRPr="00994B4A">
              <w:rPr>
                <w:rFonts w:cs="Arial"/>
                <w:bCs/>
                <w:sz w:val="16"/>
                <w:szCs w:val="16"/>
              </w:rPr>
              <w:t xml:space="preserve">con </w:t>
            </w:r>
            <w:proofErr w:type="spellStart"/>
            <w:r w:rsidR="00C03411" w:rsidRPr="00994B4A">
              <w:rPr>
                <w:rFonts w:cs="Arial"/>
                <w:bCs/>
                <w:sz w:val="16"/>
                <w:szCs w:val="16"/>
              </w:rPr>
              <w:t>extraedad</w:t>
            </w:r>
            <w:proofErr w:type="spellEnd"/>
            <w:r w:rsidR="00C03411" w:rsidRPr="00994B4A">
              <w:rPr>
                <w:rFonts w:cs="Arial"/>
                <w:bCs/>
                <w:sz w:val="16"/>
                <w:szCs w:val="16"/>
              </w:rPr>
              <w:t xml:space="preserve"> ligera</w:t>
            </w:r>
          </w:p>
        </w:tc>
      </w:tr>
      <w:tr w:rsidR="001E41A7" w:rsidRPr="00994B4A" w14:paraId="657120E1" w14:textId="77777777">
        <w:trPr>
          <w:trHeight w:val="881"/>
        </w:trPr>
        <w:tc>
          <w:tcPr>
            <w:tcW w:w="8350" w:type="dxa"/>
            <w:tcBorders>
              <w:top w:val="single" w:sz="4" w:space="0" w:color="auto"/>
              <w:left w:val="single" w:sz="4" w:space="0" w:color="auto"/>
              <w:bottom w:val="single" w:sz="4" w:space="0" w:color="auto"/>
              <w:right w:val="single" w:sz="4" w:space="0" w:color="auto"/>
            </w:tcBorders>
            <w:vAlign w:val="center"/>
          </w:tcPr>
          <w:p w14:paraId="3C52DBFB" w14:textId="4B773F31" w:rsidR="001E41A7" w:rsidRPr="00994B4A" w:rsidRDefault="00F8348E" w:rsidP="00B53271">
            <w:pPr>
              <w:rPr>
                <w:rFonts w:cs="Arial"/>
                <w:b/>
                <w:sz w:val="16"/>
                <w:szCs w:val="16"/>
              </w:rPr>
            </w:pPr>
            <w:r w:rsidRPr="00994B4A">
              <w:rPr>
                <w:rFonts w:cs="Arial"/>
                <w:b/>
                <w:sz w:val="16"/>
                <w:szCs w:val="16"/>
              </w:rPr>
              <w:t>Definición</w:t>
            </w:r>
          </w:p>
          <w:p w14:paraId="3ED007A0" w14:textId="0EBB3787" w:rsidR="00883166" w:rsidRPr="00994B4A" w:rsidRDefault="00883166" w:rsidP="00883166">
            <w:pPr>
              <w:pStyle w:val="Textocomentario"/>
              <w:rPr>
                <w:rFonts w:cs="Arial"/>
                <w:sz w:val="16"/>
                <w:szCs w:val="16"/>
              </w:rPr>
            </w:pPr>
            <w:r w:rsidRPr="00994B4A">
              <w:rPr>
                <w:rFonts w:cs="Arial"/>
                <w:sz w:val="16"/>
                <w:szCs w:val="16"/>
              </w:rPr>
              <w:t>Número de alumnos matriculados en un nivel educativo con un año de edad más que la edad idónea para cursar un grado escolar en específico por cada cien matriculados al inicio del ciclo escolar.</w:t>
            </w:r>
          </w:p>
          <w:p w14:paraId="51CDF65D" w14:textId="2D8332C3" w:rsidR="001E41A7" w:rsidRPr="00994B4A" w:rsidRDefault="001E41A7" w:rsidP="00A9512E">
            <w:pPr>
              <w:tabs>
                <w:tab w:val="left" w:pos="0"/>
              </w:tabs>
              <w:ind w:right="110"/>
              <w:rPr>
                <w:rFonts w:cs="Arial"/>
                <w:b/>
                <w:bCs/>
                <w:sz w:val="16"/>
                <w:szCs w:val="16"/>
              </w:rPr>
            </w:pPr>
          </w:p>
        </w:tc>
      </w:tr>
      <w:tr w:rsidR="001E41A7" w:rsidRPr="00994B4A" w14:paraId="4FB6135D" w14:textId="77777777">
        <w:trPr>
          <w:trHeight w:val="1530"/>
        </w:trPr>
        <w:tc>
          <w:tcPr>
            <w:tcW w:w="8350" w:type="dxa"/>
            <w:vMerge w:val="restart"/>
            <w:tcBorders>
              <w:top w:val="single" w:sz="4" w:space="0" w:color="auto"/>
              <w:bottom w:val="single" w:sz="4" w:space="0" w:color="auto"/>
              <w:right w:val="single" w:sz="4" w:space="0" w:color="auto"/>
            </w:tcBorders>
            <w:shd w:val="clear" w:color="auto" w:fill="auto"/>
          </w:tcPr>
          <w:p w14:paraId="40074270" w14:textId="05C7BDDD" w:rsidR="001E41A7" w:rsidRPr="00994B4A" w:rsidRDefault="001E41A7" w:rsidP="00B53271">
            <w:pPr>
              <w:ind w:right="-70"/>
              <w:rPr>
                <w:rFonts w:cs="Arial"/>
                <w:b/>
                <w:sz w:val="16"/>
                <w:szCs w:val="16"/>
              </w:rPr>
            </w:pPr>
            <w:r w:rsidRPr="00994B4A">
              <w:rPr>
                <w:rFonts w:cs="Arial"/>
                <w:b/>
                <w:sz w:val="16"/>
                <w:szCs w:val="16"/>
              </w:rPr>
              <w:t>F</w:t>
            </w:r>
            <w:r w:rsidR="009C3783" w:rsidRPr="00994B4A">
              <w:rPr>
                <w:rFonts w:cs="Arial"/>
                <w:b/>
                <w:sz w:val="16"/>
                <w:szCs w:val="16"/>
              </w:rPr>
              <w:t>ó</w:t>
            </w:r>
            <w:r w:rsidR="00F8348E" w:rsidRPr="00994B4A">
              <w:rPr>
                <w:rFonts w:cs="Arial"/>
                <w:b/>
                <w:sz w:val="16"/>
                <w:szCs w:val="16"/>
              </w:rPr>
              <w:t>rmula de cálculo</w:t>
            </w:r>
            <w:r w:rsidR="007E2403">
              <w:rPr>
                <w:rFonts w:cs="Arial"/>
                <w:b/>
                <w:sz w:val="16"/>
                <w:szCs w:val="16"/>
              </w:rPr>
              <w:t xml:space="preserve"> </w:t>
            </w:r>
            <w:r w:rsidR="007516CE" w:rsidRPr="00B5104D">
              <w:rPr>
                <w:rFonts w:cs="Arial"/>
                <w:sz w:val="16"/>
                <w:szCs w:val="16"/>
                <w:vertAlign w:val="superscript"/>
              </w:rPr>
              <w:t>1</w:t>
            </w:r>
          </w:p>
          <w:p w14:paraId="718C8F56" w14:textId="77777777" w:rsidR="001E41A7" w:rsidRPr="00994B4A" w:rsidRDefault="00240F40" w:rsidP="00B53271">
            <w:pPr>
              <w:ind w:right="-70"/>
              <w:jc w:val="center"/>
              <w:rPr>
                <w:rFonts w:cs="Arial"/>
                <w:b/>
                <w:sz w:val="20"/>
                <w:szCs w:val="20"/>
              </w:rPr>
            </w:pPr>
            <w:r w:rsidRPr="00994B4A">
              <w:rPr>
                <w:rFonts w:cs="Arial"/>
                <w:position w:val="-30"/>
                <w:sz w:val="20"/>
                <w:szCs w:val="20"/>
              </w:rPr>
              <w:object w:dxaOrig="1380" w:dyaOrig="720" w14:anchorId="0955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9.75pt" o:ole="" fillcolor="window">
                  <v:imagedata r:id="rId5" o:title=""/>
                </v:shape>
                <o:OLEObject Type="Embed" ProgID="Equation.3" ShapeID="_x0000_i1025" DrawAspect="Content" ObjectID="_1609851763" r:id="rId6"/>
              </w:object>
            </w:r>
          </w:p>
          <w:tbl>
            <w:tblPr>
              <w:tblpPr w:leftFromText="141" w:rightFromText="141" w:vertAnchor="text" w:horzAnchor="page" w:tblpX="1992" w:tblpY="73"/>
              <w:tblOverlap w:val="never"/>
              <w:tblW w:w="5000" w:type="pct"/>
              <w:tblLayout w:type="fixed"/>
              <w:tblLook w:val="01E0" w:firstRow="1" w:lastRow="1" w:firstColumn="1" w:lastColumn="1" w:noHBand="0" w:noVBand="0"/>
            </w:tblPr>
            <w:tblGrid>
              <w:gridCol w:w="1233"/>
              <w:gridCol w:w="6977"/>
            </w:tblGrid>
            <w:tr w:rsidR="001E41A7" w:rsidRPr="00994B4A" w14:paraId="7B095E4A" w14:textId="77777777">
              <w:trPr>
                <w:trHeight w:val="130"/>
              </w:trPr>
              <w:tc>
                <w:tcPr>
                  <w:tcW w:w="751" w:type="pct"/>
                  <w:vAlign w:val="center"/>
                </w:tcPr>
                <w:p w14:paraId="3863CF7A" w14:textId="77777777" w:rsidR="001E41A7" w:rsidRPr="00994B4A" w:rsidRDefault="00240F40" w:rsidP="00167E49">
                  <w:pPr>
                    <w:ind w:right="-70"/>
                    <w:jc w:val="center"/>
                    <w:rPr>
                      <w:rFonts w:cs="Arial"/>
                      <w:b/>
                      <w:sz w:val="20"/>
                      <w:szCs w:val="20"/>
                    </w:rPr>
                  </w:pPr>
                  <w:r w:rsidRPr="00994B4A">
                    <w:rPr>
                      <w:rFonts w:cs="Arial"/>
                      <w:position w:val="-12"/>
                      <w:sz w:val="20"/>
                      <w:szCs w:val="20"/>
                    </w:rPr>
                    <w:object w:dxaOrig="760" w:dyaOrig="380" w14:anchorId="431E134F">
                      <v:shape id="_x0000_i1026" type="#_x0000_t75" style="width:39.75pt;height:17.25pt" o:ole="" fillcolor="window">
                        <v:imagedata r:id="rId7" o:title=""/>
                      </v:shape>
                      <o:OLEObject Type="Embed" ProgID="Equation.3" ShapeID="_x0000_i1026" DrawAspect="Content" ObjectID="_1609851764" r:id="rId8"/>
                    </w:object>
                  </w:r>
                </w:p>
              </w:tc>
              <w:tc>
                <w:tcPr>
                  <w:tcW w:w="4249" w:type="pct"/>
                  <w:tcMar>
                    <w:left w:w="57" w:type="dxa"/>
                    <w:bottom w:w="57" w:type="dxa"/>
                    <w:right w:w="57" w:type="dxa"/>
                  </w:tcMar>
                  <w:vAlign w:val="center"/>
                </w:tcPr>
                <w:p w14:paraId="681B5143" w14:textId="5297F60E" w:rsidR="001E41A7" w:rsidRPr="00994B4A" w:rsidRDefault="00C03411" w:rsidP="00240F40">
                  <w:pPr>
                    <w:ind w:right="-70"/>
                    <w:rPr>
                      <w:rFonts w:cs="Arial"/>
                      <w:sz w:val="16"/>
                      <w:szCs w:val="16"/>
                    </w:rPr>
                  </w:pPr>
                  <w:r w:rsidRPr="00994B4A">
                    <w:rPr>
                      <w:rFonts w:cs="Arial"/>
                      <w:sz w:val="16"/>
                      <w:szCs w:val="16"/>
                    </w:rPr>
                    <w:t xml:space="preserve">Alumnos </w:t>
                  </w:r>
                  <w:r w:rsidR="00240F40" w:rsidRPr="00994B4A">
                    <w:rPr>
                      <w:rFonts w:cs="Arial"/>
                      <w:sz w:val="16"/>
                      <w:szCs w:val="16"/>
                    </w:rPr>
                    <w:t xml:space="preserve">con extraedad ligera en el nivel educativo </w:t>
                  </w:r>
                  <w:r w:rsidR="00240F40" w:rsidRPr="00994B4A">
                    <w:rPr>
                      <w:rFonts w:cs="Arial"/>
                      <w:position w:val="-6"/>
                      <w:sz w:val="16"/>
                      <w:szCs w:val="16"/>
                    </w:rPr>
                    <w:object w:dxaOrig="380" w:dyaOrig="260" w14:anchorId="73D7A70C">
                      <v:shape id="_x0000_i1027" type="#_x0000_t75" style="width:20.25pt;height:12.75pt" o:ole="">
                        <v:imagedata r:id="rId9" o:title=""/>
                      </v:shape>
                      <o:OLEObject Type="Embed" ProgID="Equation.3" ShapeID="_x0000_i1027" DrawAspect="Content" ObjectID="_1609851765" r:id="rId10"/>
                    </w:object>
                  </w:r>
                  <w:r w:rsidR="00240F40" w:rsidRPr="00994B4A">
                    <w:rPr>
                      <w:rFonts w:cs="Arial"/>
                      <w:sz w:val="16"/>
                      <w:szCs w:val="16"/>
                    </w:rPr>
                    <w:t>, es decir, total de alumnos por</w:t>
                  </w:r>
                  <w:r w:rsidRPr="00994B4A">
                    <w:rPr>
                      <w:rFonts w:cs="Arial"/>
                      <w:sz w:val="16"/>
                      <w:szCs w:val="16"/>
                    </w:rPr>
                    <w:t xml:space="preserve"> grado escolar</w:t>
                  </w:r>
                  <w:r w:rsidR="00240F40" w:rsidRPr="00994B4A">
                    <w:rPr>
                      <w:rFonts w:cs="Arial"/>
                      <w:sz w:val="16"/>
                      <w:szCs w:val="16"/>
                    </w:rPr>
                    <w:t xml:space="preserve"> que </w:t>
                  </w:r>
                  <w:r w:rsidR="00556182" w:rsidRPr="00994B4A">
                    <w:rPr>
                      <w:rFonts w:cs="Arial"/>
                      <w:sz w:val="16"/>
                      <w:szCs w:val="16"/>
                    </w:rPr>
                    <w:t xml:space="preserve">al inicio del ciclo escolar </w:t>
                  </w:r>
                  <w:r w:rsidR="00EF6E6A" w:rsidRPr="00994B4A">
                    <w:rPr>
                      <w:rFonts w:cs="Arial"/>
                      <w:position w:val="-6"/>
                      <w:sz w:val="20"/>
                      <w:szCs w:val="20"/>
                    </w:rPr>
                    <w:object w:dxaOrig="139" w:dyaOrig="260" w14:anchorId="33306009">
                      <v:shape id="_x0000_i1028" type="#_x0000_t75" style="width:5.25pt;height:12.75pt" o:ole="">
                        <v:imagedata r:id="rId11" o:title=""/>
                      </v:shape>
                      <o:OLEObject Type="Embed" ProgID="Equation.3" ShapeID="_x0000_i1028" DrawAspect="Content" ObjectID="_1609851766" r:id="rId12"/>
                    </w:object>
                  </w:r>
                  <w:r w:rsidR="009E637A">
                    <w:rPr>
                      <w:rFonts w:cs="Arial"/>
                      <w:sz w:val="20"/>
                      <w:szCs w:val="20"/>
                    </w:rPr>
                    <w:t xml:space="preserve"> </w:t>
                  </w:r>
                  <w:r w:rsidRPr="00994B4A">
                    <w:rPr>
                      <w:rFonts w:cs="Arial"/>
                      <w:sz w:val="16"/>
                      <w:szCs w:val="16"/>
                    </w:rPr>
                    <w:t>tiene</w:t>
                  </w:r>
                  <w:r w:rsidR="00344A29" w:rsidRPr="00994B4A">
                    <w:rPr>
                      <w:rFonts w:cs="Arial"/>
                      <w:sz w:val="16"/>
                      <w:szCs w:val="16"/>
                    </w:rPr>
                    <w:t>n</w:t>
                  </w:r>
                  <w:r w:rsidRPr="00994B4A">
                    <w:rPr>
                      <w:rFonts w:cs="Arial"/>
                      <w:sz w:val="16"/>
                      <w:szCs w:val="16"/>
                    </w:rPr>
                    <w:t xml:space="preserve"> un año más </w:t>
                  </w:r>
                  <w:r w:rsidR="00240F40" w:rsidRPr="00994B4A">
                    <w:rPr>
                      <w:rFonts w:cs="Arial"/>
                      <w:sz w:val="16"/>
                      <w:szCs w:val="16"/>
                    </w:rPr>
                    <w:t xml:space="preserve">que </w:t>
                  </w:r>
                  <w:r w:rsidRPr="00994B4A">
                    <w:rPr>
                      <w:rFonts w:cs="Arial"/>
                      <w:sz w:val="16"/>
                      <w:szCs w:val="16"/>
                    </w:rPr>
                    <w:t xml:space="preserve">la edad </w:t>
                  </w:r>
                  <w:r w:rsidR="00240F40" w:rsidRPr="00994B4A">
                    <w:rPr>
                      <w:rFonts w:cs="Arial"/>
                      <w:sz w:val="16"/>
                      <w:szCs w:val="16"/>
                    </w:rPr>
                    <w:t xml:space="preserve">idónea </w:t>
                  </w:r>
                  <w:r w:rsidRPr="00994B4A">
                    <w:rPr>
                      <w:rFonts w:cs="Arial"/>
                      <w:sz w:val="16"/>
                      <w:szCs w:val="16"/>
                    </w:rPr>
                    <w:t>para cursar dicho grado.</w:t>
                  </w:r>
                </w:p>
              </w:tc>
            </w:tr>
            <w:tr w:rsidR="001E41A7" w:rsidRPr="00994B4A" w14:paraId="56DF74DA" w14:textId="77777777">
              <w:trPr>
                <w:trHeight w:val="196"/>
              </w:trPr>
              <w:tc>
                <w:tcPr>
                  <w:tcW w:w="751" w:type="pct"/>
                  <w:vAlign w:val="center"/>
                </w:tcPr>
                <w:p w14:paraId="31732CC1" w14:textId="77777777" w:rsidR="001E41A7" w:rsidRPr="00994B4A" w:rsidRDefault="00240F40" w:rsidP="00167E49">
                  <w:pPr>
                    <w:ind w:right="-70"/>
                    <w:jc w:val="center"/>
                    <w:rPr>
                      <w:rFonts w:cs="Arial"/>
                      <w:sz w:val="20"/>
                      <w:szCs w:val="20"/>
                    </w:rPr>
                  </w:pPr>
                  <w:r w:rsidRPr="00994B4A">
                    <w:rPr>
                      <w:rFonts w:cs="Arial"/>
                      <w:position w:val="-12"/>
                      <w:sz w:val="20"/>
                      <w:szCs w:val="20"/>
                    </w:rPr>
                    <w:object w:dxaOrig="639" w:dyaOrig="380" w14:anchorId="61E109AA">
                      <v:shape id="_x0000_i1029" type="#_x0000_t75" style="width:32.25pt;height:17.25pt" o:ole="" fillcolor="window">
                        <v:imagedata r:id="rId13" o:title=""/>
                      </v:shape>
                      <o:OLEObject Type="Embed" ProgID="Equation.3" ShapeID="_x0000_i1029" DrawAspect="Content" ObjectID="_1609851767" r:id="rId14"/>
                    </w:object>
                  </w:r>
                </w:p>
              </w:tc>
              <w:tc>
                <w:tcPr>
                  <w:tcW w:w="4249" w:type="pct"/>
                  <w:tcMar>
                    <w:left w:w="57" w:type="dxa"/>
                    <w:bottom w:w="57" w:type="dxa"/>
                    <w:right w:w="57" w:type="dxa"/>
                  </w:tcMar>
                  <w:vAlign w:val="center"/>
                </w:tcPr>
                <w:p w14:paraId="2A88A2EF" w14:textId="77777777" w:rsidR="001E41A7" w:rsidRPr="00994B4A" w:rsidRDefault="00240F40" w:rsidP="00240F40">
                  <w:pPr>
                    <w:ind w:right="-70"/>
                    <w:rPr>
                      <w:rFonts w:cs="Arial"/>
                      <w:sz w:val="16"/>
                      <w:szCs w:val="16"/>
                    </w:rPr>
                  </w:pPr>
                  <w:r w:rsidRPr="00994B4A">
                    <w:rPr>
                      <w:rFonts w:cs="Arial"/>
                      <w:sz w:val="16"/>
                      <w:szCs w:val="16"/>
                    </w:rPr>
                    <w:t xml:space="preserve">Matrícula inicial en el nivel educativo </w:t>
                  </w:r>
                  <w:r w:rsidRPr="00994B4A">
                    <w:rPr>
                      <w:rFonts w:cs="Arial"/>
                      <w:position w:val="-6"/>
                      <w:sz w:val="16"/>
                      <w:szCs w:val="16"/>
                    </w:rPr>
                    <w:object w:dxaOrig="380" w:dyaOrig="260" w14:anchorId="113CBB24">
                      <v:shape id="_x0000_i1030" type="#_x0000_t75" style="width:20.25pt;height:12.75pt" o:ole="">
                        <v:imagedata r:id="rId15" o:title=""/>
                      </v:shape>
                      <o:OLEObject Type="Embed" ProgID="Equation.3" ShapeID="_x0000_i1030" DrawAspect="Content" ObjectID="_1609851768" r:id="rId16"/>
                    </w:object>
                  </w:r>
                  <w:r w:rsidRPr="00994B4A">
                    <w:rPr>
                      <w:rFonts w:cs="Arial"/>
                      <w:sz w:val="16"/>
                      <w:szCs w:val="16"/>
                    </w:rPr>
                    <w:t>en e</w:t>
                  </w:r>
                  <w:r w:rsidR="00556182" w:rsidRPr="00994B4A">
                    <w:rPr>
                      <w:rFonts w:cs="Arial"/>
                      <w:sz w:val="16"/>
                      <w:szCs w:val="16"/>
                    </w:rPr>
                    <w:t xml:space="preserve">l ciclo escolar </w:t>
                  </w:r>
                  <w:r w:rsidR="00EF6E6A" w:rsidRPr="00994B4A">
                    <w:rPr>
                      <w:rFonts w:cs="Arial"/>
                      <w:position w:val="-6"/>
                      <w:sz w:val="20"/>
                      <w:szCs w:val="20"/>
                    </w:rPr>
                    <w:object w:dxaOrig="139" w:dyaOrig="260" w14:anchorId="61E41BA2">
                      <v:shape id="_x0000_i1031" type="#_x0000_t75" style="width:5.25pt;height:12.75pt" o:ole="">
                        <v:imagedata r:id="rId11" o:title=""/>
                      </v:shape>
                      <o:OLEObject Type="Embed" ProgID="Equation.3" ShapeID="_x0000_i1031" DrawAspect="Content" ObjectID="_1609851769" r:id="rId17"/>
                    </w:object>
                  </w:r>
                  <w:r w:rsidR="00A64C9E" w:rsidRPr="00994B4A">
                    <w:rPr>
                      <w:rFonts w:cs="Arial"/>
                      <w:sz w:val="16"/>
                      <w:szCs w:val="16"/>
                    </w:rPr>
                    <w:t>.</w:t>
                  </w:r>
                </w:p>
              </w:tc>
            </w:tr>
            <w:tr w:rsidR="00167E49" w:rsidRPr="00994B4A" w14:paraId="40678823" w14:textId="77777777">
              <w:trPr>
                <w:trHeight w:val="192"/>
              </w:trPr>
              <w:tc>
                <w:tcPr>
                  <w:tcW w:w="751" w:type="pct"/>
                  <w:vAlign w:val="center"/>
                </w:tcPr>
                <w:p w14:paraId="5592BAB7" w14:textId="77777777" w:rsidR="00167E49" w:rsidRPr="00994B4A" w:rsidRDefault="0061564F" w:rsidP="00167E49">
                  <w:pPr>
                    <w:ind w:right="-70"/>
                    <w:jc w:val="center"/>
                    <w:rPr>
                      <w:rFonts w:cs="Arial"/>
                      <w:sz w:val="20"/>
                      <w:szCs w:val="20"/>
                    </w:rPr>
                  </w:pPr>
                  <w:r w:rsidRPr="00994B4A">
                    <w:rPr>
                      <w:rFonts w:cs="Arial"/>
                      <w:position w:val="-6"/>
                      <w:sz w:val="20"/>
                      <w:szCs w:val="20"/>
                    </w:rPr>
                    <w:object w:dxaOrig="380" w:dyaOrig="260" w14:anchorId="0705019A">
                      <v:shape id="_x0000_i1032" type="#_x0000_t75" style="width:20.25pt;height:12.75pt" o:ole="">
                        <v:imagedata r:id="rId18" o:title=""/>
                      </v:shape>
                      <o:OLEObject Type="Embed" ProgID="Equation.3" ShapeID="_x0000_i1032" DrawAspect="Content" ObjectID="_1609851770" r:id="rId19"/>
                    </w:object>
                  </w:r>
                </w:p>
              </w:tc>
              <w:tc>
                <w:tcPr>
                  <w:tcW w:w="4249" w:type="pct"/>
                  <w:tcMar>
                    <w:left w:w="57" w:type="dxa"/>
                    <w:bottom w:w="57" w:type="dxa"/>
                    <w:right w:w="57" w:type="dxa"/>
                  </w:tcMar>
                  <w:vAlign w:val="center"/>
                </w:tcPr>
                <w:p w14:paraId="7911F16B" w14:textId="77777777" w:rsidR="00167E49" w:rsidRPr="00994B4A" w:rsidRDefault="00240F40" w:rsidP="00240F40">
                  <w:pPr>
                    <w:rPr>
                      <w:rFonts w:cs="Arial"/>
                      <w:sz w:val="16"/>
                      <w:szCs w:val="16"/>
                      <w:lang w:val="pt-BR"/>
                    </w:rPr>
                  </w:pPr>
                  <w:r w:rsidRPr="00994B4A">
                    <w:rPr>
                      <w:rFonts w:cs="Arial"/>
                      <w:sz w:val="16"/>
                      <w:szCs w:val="16"/>
                      <w:lang w:val="pt-BR"/>
                    </w:rPr>
                    <w:t>Nivel educativo: preescolar, primaria y secundaria.</w:t>
                  </w:r>
                </w:p>
              </w:tc>
            </w:tr>
            <w:tr w:rsidR="00EF6E6A" w:rsidRPr="00994B4A" w14:paraId="23EF2626" w14:textId="77777777" w:rsidTr="00216CFC">
              <w:trPr>
                <w:trHeight w:val="192"/>
              </w:trPr>
              <w:tc>
                <w:tcPr>
                  <w:tcW w:w="751" w:type="pct"/>
                  <w:vAlign w:val="center"/>
                </w:tcPr>
                <w:p w14:paraId="5EDE80B4" w14:textId="77777777" w:rsidR="00EF6E6A" w:rsidRPr="00994B4A" w:rsidRDefault="00EF6E6A" w:rsidP="00EF6E6A">
                  <w:pPr>
                    <w:ind w:right="-70"/>
                    <w:jc w:val="center"/>
                    <w:rPr>
                      <w:rFonts w:cs="Arial"/>
                      <w:sz w:val="20"/>
                      <w:szCs w:val="20"/>
                    </w:rPr>
                  </w:pPr>
                  <w:r w:rsidRPr="00994B4A">
                    <w:rPr>
                      <w:rFonts w:cs="Arial"/>
                      <w:position w:val="-6"/>
                      <w:sz w:val="20"/>
                      <w:szCs w:val="20"/>
                    </w:rPr>
                    <w:object w:dxaOrig="139" w:dyaOrig="260" w14:anchorId="661B2C10">
                      <v:shape id="_x0000_i1033" type="#_x0000_t75" style="width:5.25pt;height:12.75pt" o:ole="">
                        <v:imagedata r:id="rId11" o:title=""/>
                      </v:shape>
                      <o:OLEObject Type="Embed" ProgID="Equation.3" ShapeID="_x0000_i1033" DrawAspect="Content" ObjectID="_1609851771" r:id="rId20"/>
                    </w:object>
                  </w:r>
                </w:p>
              </w:tc>
              <w:tc>
                <w:tcPr>
                  <w:tcW w:w="4249" w:type="pct"/>
                  <w:tcMar>
                    <w:left w:w="57" w:type="dxa"/>
                    <w:bottom w:w="57" w:type="dxa"/>
                    <w:right w:w="57" w:type="dxa"/>
                  </w:tcMar>
                  <w:vAlign w:val="center"/>
                </w:tcPr>
                <w:p w14:paraId="18FC5900" w14:textId="77777777" w:rsidR="00EF6E6A" w:rsidRPr="00994B4A" w:rsidRDefault="00EF6E6A" w:rsidP="00EF6E6A">
                  <w:pPr>
                    <w:rPr>
                      <w:rFonts w:cs="Arial"/>
                      <w:sz w:val="16"/>
                      <w:szCs w:val="16"/>
                      <w:lang w:val="pt-BR"/>
                    </w:rPr>
                  </w:pPr>
                  <w:r w:rsidRPr="00994B4A">
                    <w:rPr>
                      <w:rFonts w:cs="Arial"/>
                      <w:sz w:val="16"/>
                      <w:szCs w:val="16"/>
                      <w:lang w:val="pt-BR"/>
                    </w:rPr>
                    <w:t>Ciclo escolar.</w:t>
                  </w:r>
                </w:p>
              </w:tc>
            </w:tr>
          </w:tbl>
          <w:p w14:paraId="28974EC8" w14:textId="77777777" w:rsidR="001E41A7" w:rsidRPr="00994B4A" w:rsidRDefault="001E41A7" w:rsidP="00496FCD">
            <w:pPr>
              <w:rPr>
                <w:rFonts w:cs="Arial"/>
                <w:b/>
                <w:sz w:val="16"/>
                <w:szCs w:val="16"/>
              </w:rPr>
            </w:pPr>
          </w:p>
        </w:tc>
      </w:tr>
      <w:tr w:rsidR="001E41A7" w:rsidRPr="00994B4A" w14:paraId="1FF0766D" w14:textId="77777777">
        <w:trPr>
          <w:trHeight w:val="1737"/>
        </w:trPr>
        <w:tc>
          <w:tcPr>
            <w:tcW w:w="8350" w:type="dxa"/>
            <w:vMerge/>
            <w:tcBorders>
              <w:top w:val="single" w:sz="4" w:space="0" w:color="auto"/>
              <w:bottom w:val="single" w:sz="4" w:space="0" w:color="auto"/>
              <w:right w:val="single" w:sz="4" w:space="0" w:color="auto"/>
            </w:tcBorders>
            <w:shd w:val="clear" w:color="auto" w:fill="auto"/>
          </w:tcPr>
          <w:p w14:paraId="1711C648" w14:textId="77777777" w:rsidR="001E41A7" w:rsidRPr="00994B4A" w:rsidRDefault="001E41A7" w:rsidP="00B53271">
            <w:pPr>
              <w:ind w:right="-70"/>
              <w:rPr>
                <w:rFonts w:cs="Arial"/>
                <w:sz w:val="16"/>
                <w:szCs w:val="16"/>
              </w:rPr>
            </w:pPr>
          </w:p>
        </w:tc>
      </w:tr>
      <w:tr w:rsidR="001E41A7" w:rsidRPr="00994B4A" w14:paraId="736902F6" w14:textId="77777777">
        <w:trPr>
          <w:trHeight w:val="853"/>
        </w:trPr>
        <w:tc>
          <w:tcPr>
            <w:tcW w:w="8350" w:type="dxa"/>
            <w:tcBorders>
              <w:top w:val="single" w:sz="4" w:space="0" w:color="auto"/>
              <w:left w:val="single" w:sz="4" w:space="0" w:color="auto"/>
              <w:bottom w:val="single" w:sz="4" w:space="0" w:color="auto"/>
              <w:right w:val="single" w:sz="4" w:space="0" w:color="auto"/>
            </w:tcBorders>
            <w:shd w:val="clear" w:color="auto" w:fill="auto"/>
            <w:vAlign w:val="center"/>
          </w:tcPr>
          <w:p w14:paraId="66FBE4E6" w14:textId="77777777" w:rsidR="001E41A7" w:rsidRPr="00994B4A" w:rsidRDefault="00F8348E" w:rsidP="000D12AD">
            <w:pPr>
              <w:spacing w:before="120"/>
              <w:jc w:val="both"/>
              <w:rPr>
                <w:rFonts w:cs="Arial"/>
                <w:b/>
                <w:sz w:val="16"/>
                <w:szCs w:val="16"/>
              </w:rPr>
            </w:pPr>
            <w:r w:rsidRPr="00994B4A">
              <w:rPr>
                <w:rFonts w:cs="Arial"/>
                <w:b/>
                <w:sz w:val="16"/>
                <w:szCs w:val="16"/>
              </w:rPr>
              <w:t>Interpretación</w:t>
            </w:r>
          </w:p>
          <w:p w14:paraId="68893953" w14:textId="420A1E64" w:rsidR="0010373C" w:rsidRPr="00994B4A" w:rsidRDefault="00C03411" w:rsidP="009E637A">
            <w:pPr>
              <w:spacing w:after="120"/>
              <w:jc w:val="both"/>
              <w:rPr>
                <w:rFonts w:cs="Arial"/>
                <w:sz w:val="16"/>
                <w:szCs w:val="16"/>
              </w:rPr>
            </w:pPr>
            <w:r w:rsidRPr="00994B4A">
              <w:rPr>
                <w:rFonts w:cs="Arial"/>
                <w:sz w:val="16"/>
                <w:szCs w:val="16"/>
              </w:rPr>
              <w:t xml:space="preserve">Este indicador muestra el porcentaje de niños o jóvenes matriculados </w:t>
            </w:r>
            <w:r w:rsidR="00496ABF" w:rsidRPr="00994B4A">
              <w:rPr>
                <w:rFonts w:cs="Arial"/>
                <w:sz w:val="16"/>
                <w:szCs w:val="16"/>
              </w:rPr>
              <w:t xml:space="preserve">en la escuela </w:t>
            </w:r>
            <w:r w:rsidRPr="00994B4A">
              <w:rPr>
                <w:rFonts w:cs="Arial"/>
                <w:sz w:val="16"/>
                <w:szCs w:val="16"/>
              </w:rPr>
              <w:t xml:space="preserve">que </w:t>
            </w:r>
            <w:r w:rsidR="00B67894" w:rsidRPr="00994B4A">
              <w:rPr>
                <w:rFonts w:cs="Arial"/>
                <w:sz w:val="16"/>
                <w:szCs w:val="16"/>
              </w:rPr>
              <w:t>están</w:t>
            </w:r>
            <w:r w:rsidRPr="00994B4A">
              <w:rPr>
                <w:rFonts w:cs="Arial"/>
                <w:sz w:val="16"/>
                <w:szCs w:val="16"/>
              </w:rPr>
              <w:t xml:space="preserve"> fuera del rango </w:t>
            </w:r>
            <w:r w:rsidR="009E637A">
              <w:rPr>
                <w:rFonts w:cs="Arial"/>
                <w:sz w:val="16"/>
                <w:szCs w:val="16"/>
              </w:rPr>
              <w:t>de edad correspondiente para un determinado grado y nivel educativo</w:t>
            </w:r>
            <w:r w:rsidRPr="00994B4A">
              <w:rPr>
                <w:rFonts w:cs="Arial"/>
                <w:sz w:val="16"/>
                <w:szCs w:val="16"/>
              </w:rPr>
              <w:t xml:space="preserve"> por un año. Valores elevados en este indicador reflejan la conjunción de </w:t>
            </w:r>
            <w:r w:rsidR="00F10E17" w:rsidRPr="00994B4A">
              <w:rPr>
                <w:rFonts w:cs="Arial"/>
                <w:sz w:val="16"/>
                <w:szCs w:val="16"/>
              </w:rPr>
              <w:t>reprobación, abandono y reinserción</w:t>
            </w:r>
            <w:r w:rsidR="007B0593" w:rsidRPr="00994B4A">
              <w:rPr>
                <w:rFonts w:cs="Arial"/>
                <w:sz w:val="16"/>
                <w:szCs w:val="16"/>
              </w:rPr>
              <w:t>,</w:t>
            </w:r>
            <w:r w:rsidR="00F10E17" w:rsidRPr="00994B4A">
              <w:rPr>
                <w:rFonts w:cs="Arial"/>
                <w:sz w:val="16"/>
                <w:szCs w:val="16"/>
              </w:rPr>
              <w:t xml:space="preserve"> así como </w:t>
            </w:r>
            <w:r w:rsidRPr="00994B4A">
              <w:rPr>
                <w:rFonts w:cs="Arial"/>
                <w:sz w:val="16"/>
                <w:szCs w:val="16"/>
              </w:rPr>
              <w:t>un ingreso tardío al sistema</w:t>
            </w:r>
            <w:r w:rsidR="00A9512E" w:rsidRPr="00994B4A">
              <w:rPr>
                <w:rFonts w:cs="Arial"/>
                <w:sz w:val="16"/>
                <w:szCs w:val="16"/>
              </w:rPr>
              <w:t xml:space="preserve"> educativo</w:t>
            </w:r>
            <w:r w:rsidR="00F10E17" w:rsidRPr="00994B4A">
              <w:rPr>
                <w:rFonts w:cs="Arial"/>
                <w:sz w:val="16"/>
                <w:szCs w:val="16"/>
              </w:rPr>
              <w:t>.</w:t>
            </w:r>
          </w:p>
        </w:tc>
      </w:tr>
      <w:tr w:rsidR="001E41A7" w:rsidRPr="00994B4A" w14:paraId="609A212D" w14:textId="77777777">
        <w:trPr>
          <w:trHeight w:val="658"/>
        </w:trPr>
        <w:tc>
          <w:tcPr>
            <w:tcW w:w="8350" w:type="dxa"/>
            <w:tcBorders>
              <w:top w:val="single" w:sz="4" w:space="0" w:color="auto"/>
              <w:left w:val="single" w:sz="4" w:space="0" w:color="auto"/>
              <w:bottom w:val="single" w:sz="4" w:space="0" w:color="auto"/>
              <w:right w:val="single" w:sz="4" w:space="0" w:color="auto"/>
            </w:tcBorders>
            <w:shd w:val="clear" w:color="auto" w:fill="auto"/>
          </w:tcPr>
          <w:p w14:paraId="1EA38118" w14:textId="77777777" w:rsidR="001E41A7" w:rsidRPr="00994B4A" w:rsidRDefault="00F8348E" w:rsidP="00206401">
            <w:pPr>
              <w:jc w:val="both"/>
              <w:rPr>
                <w:rFonts w:cs="Arial"/>
                <w:b/>
                <w:sz w:val="16"/>
                <w:szCs w:val="16"/>
              </w:rPr>
            </w:pPr>
            <w:r w:rsidRPr="00994B4A">
              <w:rPr>
                <w:rFonts w:cs="Arial"/>
                <w:b/>
                <w:sz w:val="16"/>
                <w:szCs w:val="16"/>
              </w:rPr>
              <w:t>Utilidad</w:t>
            </w:r>
          </w:p>
          <w:p w14:paraId="019C3496" w14:textId="2CB40E0B" w:rsidR="001E41A7" w:rsidRPr="00994B4A" w:rsidRDefault="002E5E4B" w:rsidP="002E5E4B">
            <w:pPr>
              <w:spacing w:after="120"/>
              <w:jc w:val="both"/>
              <w:rPr>
                <w:rFonts w:cs="Arial"/>
                <w:sz w:val="16"/>
                <w:szCs w:val="16"/>
              </w:rPr>
            </w:pPr>
            <w:r w:rsidRPr="00994B4A">
              <w:rPr>
                <w:rFonts w:cs="Arial"/>
                <w:sz w:val="16"/>
                <w:szCs w:val="16"/>
              </w:rPr>
              <w:t>Con e</w:t>
            </w:r>
            <w:r w:rsidR="00C03411" w:rsidRPr="00994B4A">
              <w:rPr>
                <w:rFonts w:cs="Arial"/>
                <w:sz w:val="16"/>
                <w:szCs w:val="16"/>
              </w:rPr>
              <w:t xml:space="preserve">ste indicador </w:t>
            </w:r>
            <w:r w:rsidR="00883166" w:rsidRPr="00994B4A">
              <w:rPr>
                <w:rFonts w:cs="Arial"/>
                <w:sz w:val="16"/>
                <w:szCs w:val="16"/>
              </w:rPr>
              <w:t>es posible</w:t>
            </w:r>
            <w:r w:rsidRPr="00994B4A">
              <w:rPr>
                <w:rFonts w:cs="Arial"/>
                <w:sz w:val="16"/>
                <w:szCs w:val="16"/>
              </w:rPr>
              <w:t xml:space="preserve"> </w:t>
            </w:r>
            <w:r w:rsidR="00C03411" w:rsidRPr="00994B4A">
              <w:rPr>
                <w:rFonts w:cs="Arial"/>
                <w:sz w:val="16"/>
                <w:szCs w:val="16"/>
              </w:rPr>
              <w:t xml:space="preserve">identificar </w:t>
            </w:r>
            <w:r w:rsidR="003F6EC1" w:rsidRPr="00994B4A">
              <w:rPr>
                <w:rFonts w:cs="Arial"/>
                <w:sz w:val="16"/>
                <w:szCs w:val="16"/>
              </w:rPr>
              <w:t>oportuna</w:t>
            </w:r>
            <w:r w:rsidR="00B67894" w:rsidRPr="00994B4A">
              <w:rPr>
                <w:rFonts w:cs="Arial"/>
                <w:sz w:val="16"/>
                <w:szCs w:val="16"/>
              </w:rPr>
              <w:t>mente</w:t>
            </w:r>
            <w:r w:rsidR="00C03411" w:rsidRPr="00994B4A">
              <w:rPr>
                <w:rFonts w:cs="Arial"/>
                <w:sz w:val="16"/>
                <w:szCs w:val="16"/>
              </w:rPr>
              <w:t xml:space="preserve"> </w:t>
            </w:r>
            <w:r w:rsidR="00F10E17" w:rsidRPr="00994B4A">
              <w:rPr>
                <w:rFonts w:cs="Arial"/>
                <w:sz w:val="16"/>
                <w:szCs w:val="16"/>
              </w:rPr>
              <w:t>los grados con mayores proporciones de a</w:t>
            </w:r>
            <w:r w:rsidR="00496ABF" w:rsidRPr="00994B4A">
              <w:rPr>
                <w:rFonts w:cs="Arial"/>
                <w:sz w:val="16"/>
                <w:szCs w:val="16"/>
              </w:rPr>
              <w:t>lumnos</w:t>
            </w:r>
            <w:r w:rsidR="00C03411" w:rsidRPr="00994B4A">
              <w:rPr>
                <w:rFonts w:cs="Arial"/>
                <w:sz w:val="16"/>
                <w:szCs w:val="16"/>
              </w:rPr>
              <w:t xml:space="preserve"> que se encuentra</w:t>
            </w:r>
            <w:r w:rsidR="00CB59C0" w:rsidRPr="00994B4A">
              <w:rPr>
                <w:rFonts w:cs="Arial"/>
                <w:sz w:val="16"/>
                <w:szCs w:val="16"/>
              </w:rPr>
              <w:t>n</w:t>
            </w:r>
            <w:r w:rsidR="00C03411" w:rsidRPr="00994B4A">
              <w:rPr>
                <w:rFonts w:cs="Arial"/>
                <w:sz w:val="16"/>
                <w:szCs w:val="16"/>
              </w:rPr>
              <w:t xml:space="preserve"> en </w:t>
            </w:r>
            <w:r w:rsidR="00F10E17" w:rsidRPr="00994B4A">
              <w:rPr>
                <w:rFonts w:cs="Arial"/>
                <w:sz w:val="16"/>
                <w:szCs w:val="16"/>
              </w:rPr>
              <w:t xml:space="preserve">riesgo de </w:t>
            </w:r>
            <w:r w:rsidR="00B67894" w:rsidRPr="00994B4A">
              <w:rPr>
                <w:rFonts w:cs="Arial"/>
                <w:sz w:val="16"/>
                <w:szCs w:val="16"/>
              </w:rPr>
              <w:t xml:space="preserve">aumentar </w:t>
            </w:r>
            <w:r w:rsidR="00F10E17" w:rsidRPr="00994B4A">
              <w:rPr>
                <w:rFonts w:cs="Arial"/>
                <w:sz w:val="16"/>
                <w:szCs w:val="16"/>
              </w:rPr>
              <w:t>su rezago escolar en comparación con aqu</w:t>
            </w:r>
            <w:r w:rsidRPr="00994B4A">
              <w:rPr>
                <w:rFonts w:cs="Arial"/>
                <w:sz w:val="16"/>
                <w:szCs w:val="16"/>
              </w:rPr>
              <w:t>e</w:t>
            </w:r>
            <w:r w:rsidR="00F10E17" w:rsidRPr="00994B4A">
              <w:rPr>
                <w:rFonts w:cs="Arial"/>
                <w:sz w:val="16"/>
                <w:szCs w:val="16"/>
              </w:rPr>
              <w:t xml:space="preserve">llos que </w:t>
            </w:r>
            <w:r w:rsidR="00A9512E" w:rsidRPr="00994B4A">
              <w:rPr>
                <w:rFonts w:cs="Arial"/>
                <w:sz w:val="16"/>
                <w:szCs w:val="16"/>
              </w:rPr>
              <w:t>están</w:t>
            </w:r>
            <w:r w:rsidR="00F10E17" w:rsidRPr="00994B4A">
              <w:rPr>
                <w:rFonts w:cs="Arial"/>
                <w:sz w:val="16"/>
                <w:szCs w:val="16"/>
              </w:rPr>
              <w:t xml:space="preserve"> en una trayectoria </w:t>
            </w:r>
            <w:r w:rsidR="00B67894" w:rsidRPr="00994B4A">
              <w:rPr>
                <w:rFonts w:cs="Arial"/>
                <w:sz w:val="16"/>
                <w:szCs w:val="16"/>
              </w:rPr>
              <w:t xml:space="preserve">escolar </w:t>
            </w:r>
            <w:r w:rsidR="00F10E17" w:rsidRPr="00994B4A">
              <w:rPr>
                <w:rFonts w:cs="Arial"/>
                <w:sz w:val="16"/>
                <w:szCs w:val="16"/>
              </w:rPr>
              <w:t>normativa</w:t>
            </w:r>
            <w:r w:rsidR="0010373C" w:rsidRPr="00994B4A">
              <w:rPr>
                <w:rFonts w:cs="Arial"/>
                <w:sz w:val="16"/>
                <w:szCs w:val="16"/>
              </w:rPr>
              <w:t>.</w:t>
            </w:r>
          </w:p>
        </w:tc>
      </w:tr>
      <w:tr w:rsidR="00E96AA8" w:rsidRPr="00994B4A" w14:paraId="25DCBAD2" w14:textId="77777777">
        <w:trPr>
          <w:trHeight w:val="352"/>
        </w:trPr>
        <w:tc>
          <w:tcPr>
            <w:tcW w:w="8350" w:type="dxa"/>
            <w:tcBorders>
              <w:top w:val="single" w:sz="4" w:space="0" w:color="auto"/>
              <w:left w:val="single" w:sz="4" w:space="0" w:color="auto"/>
              <w:bottom w:val="single" w:sz="4" w:space="0" w:color="auto"/>
              <w:right w:val="single" w:sz="4" w:space="0" w:color="auto"/>
            </w:tcBorders>
            <w:shd w:val="clear" w:color="auto" w:fill="auto"/>
          </w:tcPr>
          <w:p w14:paraId="13F7AE84" w14:textId="77777777" w:rsidR="00E96AA8" w:rsidRPr="00994B4A" w:rsidRDefault="00E96AA8" w:rsidP="00206401">
            <w:pPr>
              <w:jc w:val="both"/>
              <w:rPr>
                <w:rFonts w:cs="Arial"/>
                <w:b/>
                <w:sz w:val="16"/>
                <w:szCs w:val="16"/>
              </w:rPr>
            </w:pPr>
            <w:r w:rsidRPr="00994B4A">
              <w:rPr>
                <w:rFonts w:cs="Arial"/>
                <w:b/>
                <w:sz w:val="16"/>
                <w:szCs w:val="16"/>
              </w:rPr>
              <w:t>Ofrece elementos para evaluar la sig</w:t>
            </w:r>
            <w:r w:rsidR="00F8348E" w:rsidRPr="00994B4A">
              <w:rPr>
                <w:rFonts w:cs="Arial"/>
                <w:b/>
                <w:sz w:val="16"/>
                <w:szCs w:val="16"/>
              </w:rPr>
              <w:t>uiente</w:t>
            </w:r>
            <w:r w:rsidR="00436F49" w:rsidRPr="00994B4A">
              <w:rPr>
                <w:rFonts w:cs="Arial"/>
                <w:b/>
                <w:sz w:val="16"/>
                <w:szCs w:val="16"/>
              </w:rPr>
              <w:t xml:space="preserve"> dimensi</w:t>
            </w:r>
            <w:r w:rsidR="00F8348E" w:rsidRPr="00994B4A">
              <w:rPr>
                <w:rFonts w:cs="Arial"/>
                <w:b/>
                <w:sz w:val="16"/>
                <w:szCs w:val="16"/>
              </w:rPr>
              <w:t>ó</w:t>
            </w:r>
            <w:r w:rsidR="00436F49" w:rsidRPr="00994B4A">
              <w:rPr>
                <w:rFonts w:cs="Arial"/>
                <w:b/>
                <w:sz w:val="16"/>
                <w:szCs w:val="16"/>
              </w:rPr>
              <w:t xml:space="preserve">n de </w:t>
            </w:r>
            <w:r w:rsidR="00A9512E" w:rsidRPr="00994B4A">
              <w:rPr>
                <w:rFonts w:cs="Arial"/>
                <w:b/>
                <w:sz w:val="16"/>
                <w:szCs w:val="16"/>
              </w:rPr>
              <w:t xml:space="preserve">la </w:t>
            </w:r>
            <w:r w:rsidR="00436F49" w:rsidRPr="00994B4A">
              <w:rPr>
                <w:rFonts w:cs="Arial"/>
                <w:b/>
                <w:sz w:val="16"/>
                <w:szCs w:val="16"/>
              </w:rPr>
              <w:t xml:space="preserve">calidad </w:t>
            </w:r>
            <w:r w:rsidR="00F8348E" w:rsidRPr="00994B4A">
              <w:rPr>
                <w:rFonts w:cs="Arial"/>
                <w:b/>
                <w:sz w:val="16"/>
                <w:szCs w:val="16"/>
              </w:rPr>
              <w:t>educativa</w:t>
            </w:r>
          </w:p>
          <w:p w14:paraId="1FEEC3DD" w14:textId="10321ADB" w:rsidR="00E96AA8" w:rsidRPr="00994B4A" w:rsidRDefault="00E96AA8" w:rsidP="00631A2A">
            <w:pPr>
              <w:spacing w:after="120"/>
              <w:rPr>
                <w:rFonts w:cs="Arial"/>
                <w:b/>
                <w:sz w:val="16"/>
                <w:szCs w:val="16"/>
              </w:rPr>
            </w:pPr>
            <w:r w:rsidRPr="00994B4A">
              <w:rPr>
                <w:rFonts w:cs="Arial"/>
                <w:sz w:val="16"/>
                <w:szCs w:val="16"/>
              </w:rPr>
              <w:t xml:space="preserve">Eficacia </w:t>
            </w:r>
            <w:r w:rsidR="00191C71" w:rsidRPr="00994B4A">
              <w:rPr>
                <w:rFonts w:cs="Arial"/>
                <w:sz w:val="16"/>
                <w:szCs w:val="16"/>
              </w:rPr>
              <w:t>interna</w:t>
            </w:r>
          </w:p>
        </w:tc>
      </w:tr>
      <w:tr w:rsidR="001E41A7" w:rsidRPr="00994B4A" w14:paraId="1D9262FC" w14:textId="77777777">
        <w:trPr>
          <w:trHeight w:val="1340"/>
        </w:trPr>
        <w:tc>
          <w:tcPr>
            <w:tcW w:w="8350" w:type="dxa"/>
            <w:tcBorders>
              <w:top w:val="single" w:sz="4" w:space="0" w:color="auto"/>
              <w:left w:val="single" w:sz="4" w:space="0" w:color="auto"/>
              <w:bottom w:val="single" w:sz="4" w:space="0" w:color="auto"/>
              <w:right w:val="single" w:sz="4" w:space="0" w:color="auto"/>
            </w:tcBorders>
            <w:shd w:val="clear" w:color="auto" w:fill="auto"/>
          </w:tcPr>
          <w:p w14:paraId="1FF7D359" w14:textId="77777777" w:rsidR="001E41A7" w:rsidRPr="00BA3B60" w:rsidRDefault="007E5955" w:rsidP="00206401">
            <w:pPr>
              <w:rPr>
                <w:rFonts w:cs="Arial"/>
                <w:b/>
                <w:sz w:val="16"/>
                <w:szCs w:val="16"/>
              </w:rPr>
            </w:pPr>
            <w:r w:rsidRPr="00BA3B60">
              <w:rPr>
                <w:rFonts w:cs="Arial"/>
                <w:b/>
                <w:sz w:val="16"/>
                <w:szCs w:val="16"/>
              </w:rPr>
              <w:t>Desagregación</w:t>
            </w:r>
          </w:p>
          <w:p w14:paraId="0173B4A2" w14:textId="77777777" w:rsidR="001E41A7" w:rsidRPr="00BA3B60" w:rsidRDefault="00C03411" w:rsidP="00206401">
            <w:pPr>
              <w:ind w:right="-70"/>
              <w:jc w:val="both"/>
              <w:rPr>
                <w:rFonts w:cs="Arial"/>
                <w:sz w:val="16"/>
                <w:szCs w:val="16"/>
              </w:rPr>
            </w:pPr>
            <w:r w:rsidRPr="00BA3B60">
              <w:rPr>
                <w:rFonts w:cs="Arial"/>
                <w:sz w:val="16"/>
                <w:szCs w:val="16"/>
              </w:rPr>
              <w:t>Entidad federativa, nivel educativo, grado escolar</w:t>
            </w:r>
            <w:r w:rsidR="00AA2E0E" w:rsidRPr="00BA3B60">
              <w:rPr>
                <w:rFonts w:cs="Arial"/>
                <w:sz w:val="16"/>
                <w:szCs w:val="16"/>
              </w:rPr>
              <w:t>, sexo</w:t>
            </w:r>
            <w:r w:rsidR="00AF3F5F" w:rsidRPr="00BA3B60">
              <w:rPr>
                <w:rFonts w:cs="Arial"/>
                <w:sz w:val="16"/>
                <w:szCs w:val="16"/>
              </w:rPr>
              <w:t>, tipo de servicio,</w:t>
            </w:r>
            <w:r w:rsidR="00AA2E0E" w:rsidRPr="00BA3B60">
              <w:rPr>
                <w:rFonts w:cs="Arial"/>
                <w:sz w:val="16"/>
                <w:szCs w:val="16"/>
              </w:rPr>
              <w:t xml:space="preserve"> tamaño de localidad</w:t>
            </w:r>
            <w:r w:rsidR="00AF3F5F" w:rsidRPr="00BA3B60">
              <w:rPr>
                <w:rFonts w:cs="Arial"/>
                <w:sz w:val="16"/>
                <w:szCs w:val="16"/>
              </w:rPr>
              <w:t xml:space="preserve"> y grado de marginación</w:t>
            </w:r>
            <w:r w:rsidR="00AA2E0E" w:rsidRPr="00BA3B60">
              <w:rPr>
                <w:rFonts w:cs="Arial"/>
                <w:sz w:val="16"/>
                <w:szCs w:val="16"/>
              </w:rPr>
              <w:t>.</w:t>
            </w:r>
          </w:p>
          <w:p w14:paraId="78538C43" w14:textId="77777777" w:rsidR="003608A2" w:rsidRPr="00BA3B60" w:rsidRDefault="003608A2" w:rsidP="00206401">
            <w:pPr>
              <w:ind w:right="-70"/>
              <w:jc w:val="both"/>
              <w:rPr>
                <w:rFonts w:cs="Arial"/>
                <w:sz w:val="16"/>
                <w:szCs w:val="16"/>
              </w:rPr>
            </w:pPr>
          </w:p>
          <w:p w14:paraId="2A42F0B7" w14:textId="2D032507" w:rsidR="003608A2" w:rsidRPr="00BA3B60" w:rsidRDefault="003608A2" w:rsidP="003608A2">
            <w:pPr>
              <w:ind w:right="-70"/>
              <w:jc w:val="both"/>
              <w:rPr>
                <w:rFonts w:cs="Arial"/>
                <w:sz w:val="16"/>
                <w:szCs w:val="16"/>
              </w:rPr>
            </w:pPr>
            <w:r w:rsidRPr="00BA3B60">
              <w:rPr>
                <w:rFonts w:cs="Arial"/>
                <w:b/>
                <w:sz w:val="16"/>
                <w:szCs w:val="16"/>
              </w:rPr>
              <w:t>Máximo nivel de desagregación</w:t>
            </w:r>
            <w:r w:rsidR="00CC1D62">
              <w:rPr>
                <w:rFonts w:cs="Arial"/>
                <w:sz w:val="16"/>
                <w:szCs w:val="16"/>
              </w:rPr>
              <w:t>: e</w:t>
            </w:r>
            <w:r w:rsidRPr="00BA3B60">
              <w:rPr>
                <w:rFonts w:cs="Arial"/>
                <w:sz w:val="16"/>
                <w:szCs w:val="16"/>
              </w:rPr>
              <w:t>scuela</w:t>
            </w:r>
          </w:p>
          <w:p w14:paraId="4EE56046" w14:textId="77777777" w:rsidR="00C804E0" w:rsidRPr="00BA3B60" w:rsidRDefault="00C804E0" w:rsidP="00C804E0">
            <w:pPr>
              <w:spacing w:before="120" w:after="60"/>
              <w:ind w:right="108"/>
              <w:rPr>
                <w:rFonts w:cs="Arial"/>
                <w:b/>
                <w:sz w:val="16"/>
                <w:szCs w:val="16"/>
              </w:rPr>
            </w:pPr>
            <w:r w:rsidRPr="00BA3B60">
              <w:rPr>
                <w:rFonts w:cs="Arial"/>
                <w:b/>
                <w:sz w:val="16"/>
                <w:szCs w:val="16"/>
              </w:rPr>
              <w:t>Fuente</w:t>
            </w:r>
            <w:r w:rsidR="00933ED7" w:rsidRPr="00BA3B60">
              <w:rPr>
                <w:rFonts w:cs="Arial"/>
                <w:b/>
                <w:sz w:val="16"/>
                <w:szCs w:val="16"/>
              </w:rPr>
              <w:t>s</w:t>
            </w:r>
            <w:r w:rsidR="00F8348E" w:rsidRPr="00BA3B60">
              <w:rPr>
                <w:rFonts w:cs="Arial"/>
                <w:b/>
                <w:sz w:val="16"/>
                <w:szCs w:val="16"/>
              </w:rPr>
              <w:t xml:space="preserve"> de información</w:t>
            </w:r>
          </w:p>
          <w:p w14:paraId="12ECB905" w14:textId="6A2A35B4" w:rsidR="00250DDC" w:rsidRPr="00BA3B60" w:rsidRDefault="0061564F" w:rsidP="0061564F">
            <w:pPr>
              <w:jc w:val="both"/>
              <w:rPr>
                <w:rFonts w:cs="Arial"/>
                <w:smallCaps/>
                <w:sz w:val="16"/>
                <w:szCs w:val="16"/>
                <w:lang w:eastAsia="es-MX"/>
              </w:rPr>
            </w:pPr>
            <w:r w:rsidRPr="00BA3B60">
              <w:rPr>
                <w:rFonts w:cs="Arial"/>
                <w:smallCaps/>
                <w:sz w:val="16"/>
                <w:szCs w:val="16"/>
                <w:lang w:eastAsia="es-MX"/>
              </w:rPr>
              <w:t>Conapo</w:t>
            </w:r>
            <w:r w:rsidRPr="00BA3B60">
              <w:rPr>
                <w:rFonts w:cs="Arial"/>
                <w:sz w:val="16"/>
                <w:szCs w:val="16"/>
                <w:lang w:eastAsia="es-MX"/>
              </w:rPr>
              <w:t xml:space="preserve"> (</w:t>
            </w:r>
            <w:r w:rsidR="00FF79F2" w:rsidRPr="00BA3B60">
              <w:rPr>
                <w:rFonts w:cs="Arial"/>
                <w:sz w:val="16"/>
                <w:szCs w:val="16"/>
                <w:lang w:eastAsia="es-MX"/>
              </w:rPr>
              <w:t>2012a</w:t>
            </w:r>
            <w:r w:rsidR="00CC1D62">
              <w:rPr>
                <w:rFonts w:cs="Arial"/>
                <w:sz w:val="16"/>
                <w:szCs w:val="16"/>
                <w:lang w:eastAsia="es-MX"/>
              </w:rPr>
              <w:t>). Índice de M</w:t>
            </w:r>
            <w:r w:rsidRPr="00BA3B60">
              <w:rPr>
                <w:rFonts w:cs="Arial"/>
                <w:sz w:val="16"/>
                <w:szCs w:val="16"/>
                <w:lang w:eastAsia="es-MX"/>
              </w:rPr>
              <w:t xml:space="preserve">arginación </w:t>
            </w:r>
            <w:r w:rsidR="004E7BB1" w:rsidRPr="00BA3B60">
              <w:rPr>
                <w:rFonts w:cs="Arial"/>
                <w:sz w:val="16"/>
                <w:szCs w:val="16"/>
                <w:lang w:eastAsia="es-MX"/>
              </w:rPr>
              <w:t>por</w:t>
            </w:r>
            <w:r w:rsidR="00CC1D62">
              <w:rPr>
                <w:rFonts w:cs="Arial"/>
                <w:sz w:val="16"/>
                <w:szCs w:val="16"/>
                <w:lang w:eastAsia="es-MX"/>
              </w:rPr>
              <w:t xml:space="preserve"> L</w:t>
            </w:r>
            <w:r w:rsidRPr="00BA3B60">
              <w:rPr>
                <w:rFonts w:cs="Arial"/>
                <w:sz w:val="16"/>
                <w:szCs w:val="16"/>
                <w:lang w:eastAsia="es-MX"/>
              </w:rPr>
              <w:t>ocalidad 2010.</w:t>
            </w:r>
          </w:p>
          <w:p w14:paraId="1E82BBED" w14:textId="705B2A42" w:rsidR="00250DDC" w:rsidRPr="00BA3B60" w:rsidRDefault="0061564F" w:rsidP="007246B3">
            <w:pPr>
              <w:jc w:val="both"/>
              <w:rPr>
                <w:rFonts w:cs="Arial"/>
                <w:smallCaps/>
                <w:sz w:val="16"/>
                <w:szCs w:val="16"/>
              </w:rPr>
            </w:pPr>
            <w:proofErr w:type="spellStart"/>
            <w:r w:rsidRPr="00BA3B60">
              <w:rPr>
                <w:rFonts w:cs="Arial"/>
                <w:smallCaps/>
                <w:sz w:val="16"/>
                <w:szCs w:val="16"/>
                <w:lang w:eastAsia="es-MX"/>
              </w:rPr>
              <w:t>Conapo</w:t>
            </w:r>
            <w:proofErr w:type="spellEnd"/>
            <w:r w:rsidRPr="00BA3B60">
              <w:rPr>
                <w:rFonts w:cs="Arial"/>
                <w:sz w:val="16"/>
                <w:szCs w:val="16"/>
                <w:lang w:eastAsia="es-MX"/>
              </w:rPr>
              <w:t xml:space="preserve"> (</w:t>
            </w:r>
            <w:r w:rsidR="00FF79F2" w:rsidRPr="00BA3B60">
              <w:rPr>
                <w:rFonts w:cs="Arial"/>
                <w:sz w:val="16"/>
                <w:szCs w:val="16"/>
                <w:lang w:eastAsia="es-MX"/>
              </w:rPr>
              <w:t>2012</w:t>
            </w:r>
            <w:r w:rsidR="00B41462">
              <w:rPr>
                <w:rFonts w:cs="Arial"/>
                <w:sz w:val="16"/>
                <w:szCs w:val="16"/>
                <w:lang w:eastAsia="es-MX"/>
              </w:rPr>
              <w:t>c</w:t>
            </w:r>
            <w:r w:rsidR="00CC1D62">
              <w:rPr>
                <w:rFonts w:cs="Arial"/>
                <w:sz w:val="16"/>
                <w:szCs w:val="16"/>
                <w:lang w:eastAsia="es-MX"/>
              </w:rPr>
              <w:t>). Índice de Marginación U</w:t>
            </w:r>
            <w:r w:rsidRPr="00BA3B60">
              <w:rPr>
                <w:rFonts w:cs="Arial"/>
                <w:sz w:val="16"/>
                <w:szCs w:val="16"/>
                <w:lang w:eastAsia="es-MX"/>
              </w:rPr>
              <w:t>rbana 2010.</w:t>
            </w:r>
          </w:p>
          <w:p w14:paraId="190DA4BB" w14:textId="4BF91290" w:rsidR="007246B3" w:rsidRPr="00BA3B60" w:rsidRDefault="007246B3" w:rsidP="007246B3">
            <w:pPr>
              <w:jc w:val="both"/>
              <w:rPr>
                <w:rFonts w:cs="Arial"/>
                <w:sz w:val="16"/>
                <w:szCs w:val="16"/>
              </w:rPr>
            </w:pPr>
            <w:r w:rsidRPr="007E2403">
              <w:rPr>
                <w:rFonts w:cs="Arial"/>
                <w:caps/>
                <w:sz w:val="16"/>
                <w:szCs w:val="16"/>
              </w:rPr>
              <w:t xml:space="preserve">Inegi </w:t>
            </w:r>
            <w:r w:rsidRPr="00BA3B60">
              <w:rPr>
                <w:rFonts w:cs="Arial"/>
                <w:sz w:val="16"/>
                <w:szCs w:val="16"/>
              </w:rPr>
              <w:t>(201</w:t>
            </w:r>
            <w:r w:rsidR="003D7CB4">
              <w:rPr>
                <w:rFonts w:cs="Arial"/>
                <w:sz w:val="16"/>
                <w:szCs w:val="16"/>
              </w:rPr>
              <w:t>8a</w:t>
            </w:r>
            <w:r w:rsidRPr="00BA3B60">
              <w:rPr>
                <w:rFonts w:cs="Arial"/>
                <w:sz w:val="16"/>
                <w:szCs w:val="16"/>
              </w:rPr>
              <w:t>). Marco Geoestadístico Nacional. Catálogo Único de Claves de Áreas Geoestadísticas Estatales, Municipales y Localidades (</w:t>
            </w:r>
            <w:r w:rsidR="00BE570F" w:rsidRPr="00BA3B60">
              <w:rPr>
                <w:rFonts w:cs="Arial"/>
                <w:sz w:val="16"/>
                <w:szCs w:val="16"/>
              </w:rPr>
              <w:t>c</w:t>
            </w:r>
            <w:r w:rsidRPr="00BA3B60">
              <w:rPr>
                <w:rFonts w:cs="Arial"/>
                <w:sz w:val="16"/>
                <w:szCs w:val="16"/>
              </w:rPr>
              <w:t xml:space="preserve">orte de información: </w:t>
            </w:r>
            <w:r w:rsidR="00B41462">
              <w:rPr>
                <w:rFonts w:cs="Arial"/>
                <w:sz w:val="16"/>
                <w:szCs w:val="16"/>
              </w:rPr>
              <w:t>junio</w:t>
            </w:r>
            <w:r w:rsidRPr="00BA3B60">
              <w:rPr>
                <w:rFonts w:cs="Arial"/>
                <w:sz w:val="16"/>
                <w:szCs w:val="16"/>
              </w:rPr>
              <w:t>, 201</w:t>
            </w:r>
            <w:r w:rsidR="003D7CB4">
              <w:rPr>
                <w:rFonts w:cs="Arial"/>
                <w:sz w:val="16"/>
                <w:szCs w:val="16"/>
              </w:rPr>
              <w:t>8</w:t>
            </w:r>
            <w:r w:rsidRPr="00BA3B60">
              <w:rPr>
                <w:rFonts w:cs="Arial"/>
                <w:sz w:val="16"/>
                <w:szCs w:val="16"/>
              </w:rPr>
              <w:t>).</w:t>
            </w:r>
          </w:p>
          <w:p w14:paraId="3B754624" w14:textId="40D42433" w:rsidR="00933ED7" w:rsidRPr="00BA3B60" w:rsidRDefault="00933ED7" w:rsidP="00933ED7">
            <w:pPr>
              <w:jc w:val="both"/>
              <w:rPr>
                <w:rFonts w:cs="Arial"/>
                <w:sz w:val="16"/>
                <w:szCs w:val="16"/>
                <w:lang w:eastAsia="es-MX"/>
              </w:rPr>
            </w:pPr>
            <w:r w:rsidRPr="00BA3B60">
              <w:rPr>
                <w:rFonts w:cs="Arial"/>
                <w:sz w:val="16"/>
                <w:szCs w:val="16"/>
                <w:lang w:eastAsia="es-MX"/>
              </w:rPr>
              <w:t>SEP-</w:t>
            </w:r>
            <w:proofErr w:type="spellStart"/>
            <w:r w:rsidRPr="00BA3B60">
              <w:rPr>
                <w:rFonts w:cs="Arial"/>
                <w:sz w:val="16"/>
                <w:szCs w:val="16"/>
                <w:lang w:eastAsia="es-MX"/>
              </w:rPr>
              <w:t>DGP</w:t>
            </w:r>
            <w:r w:rsidR="00F67369" w:rsidRPr="00BA3B60">
              <w:rPr>
                <w:rFonts w:cs="Arial"/>
                <w:sz w:val="16"/>
                <w:szCs w:val="16"/>
                <w:lang w:eastAsia="es-MX"/>
              </w:rPr>
              <w:t>Py</w:t>
            </w:r>
            <w:r w:rsidR="004E7BB1" w:rsidRPr="00BA3B60">
              <w:rPr>
                <w:rFonts w:cs="Arial"/>
                <w:sz w:val="16"/>
                <w:szCs w:val="16"/>
                <w:lang w:eastAsia="es-MX"/>
              </w:rPr>
              <w:t>EE</w:t>
            </w:r>
            <w:proofErr w:type="spellEnd"/>
            <w:r w:rsidR="005017EB" w:rsidRPr="00BA3B60">
              <w:rPr>
                <w:rFonts w:cs="Arial"/>
                <w:sz w:val="16"/>
                <w:szCs w:val="16"/>
                <w:lang w:eastAsia="es-MX"/>
              </w:rPr>
              <w:t xml:space="preserve"> (201</w:t>
            </w:r>
            <w:r w:rsidR="003D7CB4">
              <w:rPr>
                <w:rFonts w:cs="Arial"/>
                <w:sz w:val="16"/>
                <w:szCs w:val="16"/>
                <w:lang w:eastAsia="es-MX"/>
              </w:rPr>
              <w:t>8</w:t>
            </w:r>
            <w:r w:rsidR="005017EB" w:rsidRPr="00BA3B60">
              <w:rPr>
                <w:rFonts w:cs="Arial"/>
                <w:sz w:val="16"/>
                <w:szCs w:val="16"/>
                <w:lang w:eastAsia="es-MX"/>
              </w:rPr>
              <w:t>)</w:t>
            </w:r>
            <w:r w:rsidRPr="00BA3B60">
              <w:rPr>
                <w:rFonts w:cs="Arial"/>
                <w:sz w:val="16"/>
                <w:szCs w:val="16"/>
                <w:lang w:eastAsia="es-MX"/>
              </w:rPr>
              <w:t>.</w:t>
            </w:r>
            <w:r w:rsidRPr="00BA3B60">
              <w:rPr>
                <w:rFonts w:cs="Arial"/>
                <w:iCs/>
                <w:sz w:val="16"/>
                <w:szCs w:val="16"/>
                <w:lang w:eastAsia="es-MX"/>
              </w:rPr>
              <w:t xml:space="preserve"> Estadísticas </w:t>
            </w:r>
            <w:r w:rsidR="0017044B" w:rsidRPr="00BA3B60">
              <w:rPr>
                <w:rFonts w:cs="Arial"/>
                <w:iCs/>
                <w:sz w:val="16"/>
                <w:szCs w:val="16"/>
                <w:lang w:eastAsia="es-MX"/>
              </w:rPr>
              <w:t>C</w:t>
            </w:r>
            <w:r w:rsidRPr="00BA3B60">
              <w:rPr>
                <w:rFonts w:cs="Arial"/>
                <w:iCs/>
                <w:sz w:val="16"/>
                <w:szCs w:val="16"/>
                <w:lang w:eastAsia="es-MX"/>
              </w:rPr>
              <w:t xml:space="preserve">ontinuas del </w:t>
            </w:r>
            <w:r w:rsidR="0017044B" w:rsidRPr="00BA3B60">
              <w:rPr>
                <w:rFonts w:cs="Arial"/>
                <w:iCs/>
                <w:sz w:val="16"/>
                <w:szCs w:val="16"/>
                <w:lang w:eastAsia="es-MX"/>
              </w:rPr>
              <w:t>F</w:t>
            </w:r>
            <w:r w:rsidRPr="00BA3B60">
              <w:rPr>
                <w:rFonts w:cs="Arial"/>
                <w:iCs/>
                <w:sz w:val="16"/>
                <w:szCs w:val="16"/>
                <w:lang w:eastAsia="es-MX"/>
              </w:rPr>
              <w:t>ormato 911</w:t>
            </w:r>
            <w:r w:rsidR="00B26CCC">
              <w:rPr>
                <w:rFonts w:cs="Arial"/>
                <w:sz w:val="16"/>
                <w:szCs w:val="16"/>
                <w:lang w:eastAsia="es-MX"/>
              </w:rPr>
              <w:t xml:space="preserve"> (</w:t>
            </w:r>
            <w:r w:rsidRPr="00BA3B60">
              <w:rPr>
                <w:rFonts w:cs="Arial"/>
                <w:sz w:val="16"/>
                <w:szCs w:val="16"/>
                <w:lang w:eastAsia="es-MX"/>
              </w:rPr>
              <w:t>ciclo escolar 201</w:t>
            </w:r>
            <w:r w:rsidR="003D7CB4">
              <w:rPr>
                <w:rFonts w:cs="Arial"/>
                <w:sz w:val="16"/>
                <w:szCs w:val="16"/>
                <w:lang w:eastAsia="es-MX"/>
              </w:rPr>
              <w:t>7</w:t>
            </w:r>
            <w:r w:rsidR="00380EA3" w:rsidRPr="00BA3B60">
              <w:rPr>
                <w:rFonts w:cs="Arial"/>
                <w:sz w:val="16"/>
                <w:szCs w:val="16"/>
                <w:lang w:eastAsia="es-MX"/>
              </w:rPr>
              <w:t>-</w:t>
            </w:r>
            <w:r w:rsidRPr="00BA3B60">
              <w:rPr>
                <w:rFonts w:cs="Arial"/>
                <w:sz w:val="16"/>
                <w:szCs w:val="16"/>
                <w:lang w:eastAsia="es-MX"/>
              </w:rPr>
              <w:t>201</w:t>
            </w:r>
            <w:r w:rsidR="003D7CB4">
              <w:rPr>
                <w:rFonts w:cs="Arial"/>
                <w:sz w:val="16"/>
                <w:szCs w:val="16"/>
                <w:lang w:eastAsia="es-MX"/>
              </w:rPr>
              <w:t>8</w:t>
            </w:r>
            <w:r w:rsidRPr="00BA3B60">
              <w:rPr>
                <w:rFonts w:cs="Arial"/>
                <w:sz w:val="16"/>
                <w:szCs w:val="16"/>
                <w:lang w:eastAsia="es-MX"/>
              </w:rPr>
              <w:t>).</w:t>
            </w:r>
          </w:p>
          <w:p w14:paraId="35C4542D" w14:textId="77777777" w:rsidR="0021042C" w:rsidRPr="00BA3B60" w:rsidRDefault="0021042C" w:rsidP="0021042C">
            <w:pPr>
              <w:rPr>
                <w:rFonts w:cs="Arial"/>
                <w:b/>
                <w:sz w:val="16"/>
                <w:szCs w:val="16"/>
              </w:rPr>
            </w:pPr>
          </w:p>
          <w:p w14:paraId="13979F42" w14:textId="41961585" w:rsidR="0021042C" w:rsidRPr="00BA3B60" w:rsidRDefault="0021042C" w:rsidP="0021042C">
            <w:pPr>
              <w:rPr>
                <w:rFonts w:cs="Arial"/>
                <w:b/>
                <w:sz w:val="16"/>
                <w:szCs w:val="16"/>
              </w:rPr>
            </w:pPr>
            <w:r w:rsidRPr="00BA3B60">
              <w:rPr>
                <w:rFonts w:cs="Arial"/>
                <w:b/>
                <w:sz w:val="16"/>
                <w:szCs w:val="16"/>
              </w:rPr>
              <w:t>Nota</w:t>
            </w:r>
          </w:p>
          <w:p w14:paraId="4DCC971E" w14:textId="4CACCB71" w:rsidR="001B506F" w:rsidRPr="00BA3B60" w:rsidRDefault="00732A53" w:rsidP="001B506F">
            <w:pPr>
              <w:ind w:right="-70"/>
              <w:jc w:val="both"/>
              <w:rPr>
                <w:rFonts w:cs="Arial"/>
                <w:sz w:val="12"/>
                <w:szCs w:val="12"/>
              </w:rPr>
            </w:pPr>
            <w:r w:rsidRPr="00B5104D">
              <w:rPr>
                <w:rFonts w:cs="Arial"/>
                <w:sz w:val="12"/>
                <w:szCs w:val="12"/>
                <w:vertAlign w:val="superscript"/>
              </w:rPr>
              <w:t>1</w:t>
            </w:r>
            <w:r w:rsidR="001B506F" w:rsidRPr="00BA3B60">
              <w:rPr>
                <w:sz w:val="12"/>
                <w:szCs w:val="12"/>
              </w:rPr>
              <w:t xml:space="preserve"> El indicador puede presentar un sesgo en su medición debido a que el registro de la edad de los alumnos no corresponde con lo establecido en la LGE, que debe ser el número de años cumplidos al 31 de diciembre (art. 65, fracción I). En el </w:t>
            </w:r>
            <w:r w:rsidR="009E637A" w:rsidRPr="00BA3B60">
              <w:rPr>
                <w:sz w:val="12"/>
                <w:szCs w:val="12"/>
              </w:rPr>
              <w:t>F</w:t>
            </w:r>
            <w:r w:rsidR="001B506F" w:rsidRPr="00BA3B60">
              <w:rPr>
                <w:sz w:val="12"/>
                <w:szCs w:val="12"/>
              </w:rPr>
              <w:t>ormato 911 se registra la edad de los alumnos al 30 de septiembre, a excepción del tipo de servicio comunitario en preescolar y primaria que refiere al 31 de octubre; en educación media superior corresponde al 1 de septiembre. No obstante, se muestra el dato sin ajuste para señalar la necesidad de mejorar la consistencia y la validez de las variables.</w:t>
            </w:r>
          </w:p>
          <w:p w14:paraId="3AF4738E" w14:textId="509DB8EF" w:rsidR="00732A53" w:rsidRPr="00BA3B60" w:rsidRDefault="00732A53" w:rsidP="00732A53">
            <w:pPr>
              <w:ind w:right="-70"/>
              <w:jc w:val="both"/>
              <w:rPr>
                <w:rFonts w:cs="Arial"/>
                <w:sz w:val="12"/>
                <w:szCs w:val="12"/>
              </w:rPr>
            </w:pPr>
          </w:p>
          <w:p w14:paraId="50E59BD2" w14:textId="77777777" w:rsidR="0021042C" w:rsidRPr="00BA3B60" w:rsidRDefault="0021042C" w:rsidP="00933ED7">
            <w:pPr>
              <w:jc w:val="both"/>
              <w:rPr>
                <w:rFonts w:cs="Arial"/>
                <w:lang w:eastAsia="es-MX"/>
              </w:rPr>
            </w:pPr>
          </w:p>
          <w:p w14:paraId="24BDB9EC" w14:textId="77777777" w:rsidR="0088757B" w:rsidRPr="00BA3B60" w:rsidRDefault="0088757B" w:rsidP="004B1DF4">
            <w:pPr>
              <w:rPr>
                <w:rFonts w:cs="Arial"/>
                <w:sz w:val="16"/>
                <w:szCs w:val="16"/>
              </w:rPr>
            </w:pPr>
          </w:p>
        </w:tc>
      </w:tr>
    </w:tbl>
    <w:p w14:paraId="13EC25A2" w14:textId="77777777" w:rsidR="003E2CE9" w:rsidRPr="00994B4A" w:rsidRDefault="003E2CE9"/>
    <w:p w14:paraId="656C6149" w14:textId="77777777" w:rsidR="008E3CFB" w:rsidRDefault="00AC3859">
      <w:r w:rsidRPr="00994B4A">
        <w:rPr>
          <w:noProof/>
          <w:lang w:val="en-US" w:eastAsia="en-US"/>
        </w:rPr>
        <mc:AlternateContent>
          <mc:Choice Requires="wps">
            <w:drawing>
              <wp:anchor distT="0" distB="0" distL="114300" distR="114300" simplePos="0" relativeHeight="251658240" behindDoc="0" locked="0" layoutInCell="1" allowOverlap="1" wp14:anchorId="3B7647B7" wp14:editId="43AA1285">
                <wp:simplePos x="0" y="0"/>
                <wp:positionH relativeFrom="column">
                  <wp:posOffset>-114300</wp:posOffset>
                </wp:positionH>
                <wp:positionV relativeFrom="paragraph">
                  <wp:posOffset>16510</wp:posOffset>
                </wp:positionV>
                <wp:extent cx="5372100" cy="1150620"/>
                <wp:effectExtent l="0" t="0" r="1905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50620"/>
                        </a:xfrm>
                        <a:prstGeom prst="roundRect">
                          <a:avLst>
                            <a:gd name="adj" fmla="val 16667"/>
                          </a:avLst>
                        </a:prstGeom>
                        <a:solidFill>
                          <a:srgbClr val="FFFFFF"/>
                        </a:solidFill>
                        <a:ln w="9525">
                          <a:solidFill>
                            <a:srgbClr val="000000"/>
                          </a:solidFill>
                          <a:round/>
                          <a:headEnd/>
                          <a:tailEnd/>
                        </a:ln>
                      </wps:spPr>
                      <wps:txbx>
                        <w:txbxContent>
                          <w:p w14:paraId="1D71F2BE" w14:textId="77777777" w:rsidR="00BF31F6" w:rsidRDefault="0010373C" w:rsidP="007F2C3E">
                            <w:pPr>
                              <w:spacing w:before="120" w:after="60"/>
                              <w:ind w:right="108"/>
                              <w:rPr>
                                <w:rFonts w:cs="Arial"/>
                                <w:b/>
                                <w:sz w:val="16"/>
                                <w:szCs w:val="16"/>
                              </w:rPr>
                            </w:pPr>
                            <w:r>
                              <w:rPr>
                                <w:rFonts w:cs="Arial"/>
                                <w:b/>
                                <w:sz w:val="16"/>
                                <w:szCs w:val="16"/>
                              </w:rPr>
                              <w:t>R</w:t>
                            </w:r>
                            <w:r w:rsidR="00F8348E">
                              <w:rPr>
                                <w:rFonts w:cs="Arial"/>
                                <w:b/>
                                <w:sz w:val="16"/>
                                <w:szCs w:val="16"/>
                              </w:rPr>
                              <w:t>eferente de evaluación</w:t>
                            </w:r>
                          </w:p>
                          <w:p w14:paraId="377A1992" w14:textId="77777777" w:rsidR="00607C5C" w:rsidRPr="002A2491" w:rsidRDefault="001C67A8" w:rsidP="00607C5C">
                            <w:pPr>
                              <w:spacing w:before="120" w:after="60"/>
                              <w:ind w:right="108"/>
                              <w:rPr>
                                <w:rFonts w:cs="Arial"/>
                                <w:sz w:val="16"/>
                                <w:szCs w:val="16"/>
                              </w:rPr>
                            </w:pPr>
                            <w:r>
                              <w:rPr>
                                <w:rFonts w:cs="Arial"/>
                                <w:sz w:val="16"/>
                                <w:szCs w:val="16"/>
                              </w:rPr>
                              <w:t>Idealmente</w:t>
                            </w:r>
                            <w:r w:rsidR="003D4A57">
                              <w:rPr>
                                <w:rFonts w:cs="Arial"/>
                                <w:sz w:val="16"/>
                                <w:szCs w:val="16"/>
                              </w:rPr>
                              <w:t>,</w:t>
                            </w:r>
                            <w:r>
                              <w:rPr>
                                <w:rFonts w:cs="Arial"/>
                                <w:sz w:val="16"/>
                                <w:szCs w:val="16"/>
                              </w:rPr>
                              <w:t xml:space="preserve"> </w:t>
                            </w:r>
                            <w:r w:rsidR="00607C5C">
                              <w:rPr>
                                <w:rFonts w:cs="Arial"/>
                                <w:sz w:val="16"/>
                                <w:szCs w:val="16"/>
                              </w:rPr>
                              <w:t xml:space="preserve">la población </w:t>
                            </w:r>
                            <w:r w:rsidR="00680FC0">
                              <w:rPr>
                                <w:rFonts w:cs="Arial"/>
                                <w:sz w:val="16"/>
                                <w:szCs w:val="16"/>
                              </w:rPr>
                              <w:t>debe mantener una trayectoria apegada a las edades idóneas</w:t>
                            </w:r>
                            <w:r w:rsidR="000C4AAD">
                              <w:rPr>
                                <w:rFonts w:cs="Arial"/>
                                <w:sz w:val="16"/>
                                <w:szCs w:val="16"/>
                              </w:rPr>
                              <w:t xml:space="preserve"> en educación básica, </w:t>
                            </w:r>
                            <w:r w:rsidR="00607C5C">
                              <w:rPr>
                                <w:rFonts w:cs="Arial"/>
                                <w:sz w:val="16"/>
                                <w:szCs w:val="16"/>
                              </w:rPr>
                              <w:t xml:space="preserve">por lo que </w:t>
                            </w:r>
                            <w:r w:rsidR="00340A5E">
                              <w:rPr>
                                <w:rFonts w:cs="Arial"/>
                                <w:sz w:val="16"/>
                                <w:szCs w:val="16"/>
                              </w:rPr>
                              <w:t>el referente de</w:t>
                            </w:r>
                            <w:r w:rsidR="000C4AAD">
                              <w:rPr>
                                <w:rFonts w:cs="Arial"/>
                                <w:sz w:val="16"/>
                                <w:szCs w:val="16"/>
                              </w:rPr>
                              <w:t>l</w:t>
                            </w:r>
                            <w:r w:rsidR="00607C5C">
                              <w:rPr>
                                <w:rFonts w:cs="Arial"/>
                                <w:sz w:val="16"/>
                                <w:szCs w:val="16"/>
                              </w:rPr>
                              <w:t xml:space="preserve"> indicador </w:t>
                            </w:r>
                            <w:r w:rsidR="00E6208F">
                              <w:rPr>
                                <w:rFonts w:cs="Arial"/>
                                <w:sz w:val="16"/>
                                <w:szCs w:val="16"/>
                              </w:rPr>
                              <w:t>es</w:t>
                            </w:r>
                            <w:r w:rsidR="00607C5C">
                              <w:rPr>
                                <w:rFonts w:cs="Arial"/>
                                <w:sz w:val="16"/>
                                <w:szCs w:val="16"/>
                              </w:rPr>
                              <w:t xml:space="preserve"> </w:t>
                            </w:r>
                            <w:r w:rsidR="003D13D6">
                              <w:rPr>
                                <w:rFonts w:cs="Arial"/>
                                <w:sz w:val="16"/>
                                <w:szCs w:val="16"/>
                              </w:rPr>
                              <w:t>0%</w:t>
                            </w:r>
                            <w:r w:rsidR="00560947">
                              <w:rPr>
                                <w:rFonts w:cs="Arial"/>
                                <w:sz w:val="16"/>
                                <w:szCs w:val="16"/>
                              </w:rPr>
                              <w:t>.</w:t>
                            </w:r>
                          </w:p>
                          <w:p w14:paraId="6233D8DE" w14:textId="6800BD31" w:rsidR="00B15828" w:rsidRPr="00B15828" w:rsidRDefault="00B67894" w:rsidP="00B15828">
                            <w:pPr>
                              <w:ind w:right="108"/>
                              <w:rPr>
                                <w:rFonts w:cs="Arial"/>
                                <w:sz w:val="12"/>
                                <w:szCs w:val="12"/>
                              </w:rPr>
                            </w:pPr>
                            <w:r>
                              <w:rPr>
                                <w:rFonts w:cs="Arial"/>
                                <w:sz w:val="12"/>
                                <w:szCs w:val="12"/>
                              </w:rPr>
                              <w:t>Ver a</w:t>
                            </w:r>
                            <w:r w:rsidR="00B15828" w:rsidRPr="00B15828">
                              <w:rPr>
                                <w:rFonts w:cs="Arial"/>
                                <w:sz w:val="12"/>
                                <w:szCs w:val="12"/>
                              </w:rPr>
                              <w:t>rtículo</w:t>
                            </w:r>
                            <w:r w:rsidR="00F55611">
                              <w:rPr>
                                <w:rFonts w:cs="Arial"/>
                                <w:sz w:val="12"/>
                                <w:szCs w:val="12"/>
                              </w:rPr>
                              <w:t>s</w:t>
                            </w:r>
                            <w:r w:rsidR="00B15828" w:rsidRPr="00B15828">
                              <w:rPr>
                                <w:rFonts w:cs="Arial"/>
                                <w:sz w:val="12"/>
                                <w:szCs w:val="12"/>
                              </w:rPr>
                              <w:t xml:space="preserve"> 3° y 31 de la </w:t>
                            </w:r>
                            <w:r w:rsidR="00B15828" w:rsidRPr="00282AB0">
                              <w:rPr>
                                <w:rFonts w:cs="Arial"/>
                                <w:sz w:val="12"/>
                                <w:szCs w:val="12"/>
                              </w:rPr>
                              <w:t>CPEUM</w:t>
                            </w:r>
                            <w:r w:rsidR="00B15828" w:rsidRPr="00B15828">
                              <w:rPr>
                                <w:rFonts w:cs="Arial"/>
                                <w:sz w:val="12"/>
                                <w:szCs w:val="12"/>
                              </w:rPr>
                              <w:t xml:space="preserve"> (</w:t>
                            </w:r>
                            <w:r w:rsidR="00932919" w:rsidRPr="00B37662">
                              <w:rPr>
                                <w:rFonts w:cs="Arial"/>
                                <w:sz w:val="12"/>
                                <w:szCs w:val="12"/>
                              </w:rPr>
                              <w:t>201</w:t>
                            </w:r>
                            <w:r w:rsidR="00932919">
                              <w:rPr>
                                <w:rFonts w:cs="Arial"/>
                                <w:sz w:val="12"/>
                                <w:szCs w:val="12"/>
                              </w:rPr>
                              <w:t>8</w:t>
                            </w:r>
                            <w:r w:rsidR="00932919" w:rsidRPr="00B37662">
                              <w:rPr>
                                <w:rFonts w:cs="Arial"/>
                                <w:sz w:val="12"/>
                                <w:szCs w:val="12"/>
                              </w:rPr>
                              <w:t xml:space="preserve">, </w:t>
                            </w:r>
                            <w:r w:rsidR="00932919">
                              <w:rPr>
                                <w:rFonts w:cs="Arial"/>
                                <w:sz w:val="12"/>
                                <w:szCs w:val="12"/>
                              </w:rPr>
                              <w:t>27</w:t>
                            </w:r>
                            <w:r w:rsidR="00932919" w:rsidRPr="00B37662">
                              <w:rPr>
                                <w:rFonts w:cs="Arial"/>
                                <w:sz w:val="12"/>
                                <w:szCs w:val="12"/>
                              </w:rPr>
                              <w:t xml:space="preserve"> de </w:t>
                            </w:r>
                            <w:r w:rsidR="00932919">
                              <w:rPr>
                                <w:rFonts w:cs="Arial"/>
                                <w:sz w:val="12"/>
                                <w:szCs w:val="12"/>
                              </w:rPr>
                              <w:t>agosto</w:t>
                            </w:r>
                            <w:r w:rsidR="00B15828" w:rsidRPr="00B15828">
                              <w:rPr>
                                <w:rFonts w:cs="Arial"/>
                                <w:sz w:val="12"/>
                                <w:szCs w:val="12"/>
                              </w:rPr>
                              <w:t xml:space="preserve">) y </w:t>
                            </w:r>
                            <w:r w:rsidR="00C6442B">
                              <w:rPr>
                                <w:rFonts w:cs="Arial"/>
                                <w:sz w:val="12"/>
                                <w:szCs w:val="12"/>
                              </w:rPr>
                              <w:t>a</w:t>
                            </w:r>
                            <w:r w:rsidR="00B15828" w:rsidRPr="00B15828">
                              <w:rPr>
                                <w:rFonts w:cs="Arial"/>
                                <w:sz w:val="12"/>
                                <w:szCs w:val="12"/>
                              </w:rPr>
                              <w:t xml:space="preserve">rtículos 2°, 3°, 4° y 65 de la </w:t>
                            </w:r>
                            <w:r w:rsidR="00B15828" w:rsidRPr="00282AB0">
                              <w:rPr>
                                <w:rFonts w:cs="Arial"/>
                                <w:sz w:val="12"/>
                                <w:szCs w:val="12"/>
                              </w:rPr>
                              <w:t>LGE</w:t>
                            </w:r>
                            <w:r w:rsidR="00B15828" w:rsidRPr="00A9512E">
                              <w:rPr>
                                <w:rFonts w:cs="Arial"/>
                                <w:sz w:val="12"/>
                                <w:szCs w:val="12"/>
                              </w:rPr>
                              <w:t xml:space="preserve"> </w:t>
                            </w:r>
                            <w:r w:rsidR="00B15828" w:rsidRPr="00B15828">
                              <w:rPr>
                                <w:rFonts w:cs="Arial"/>
                                <w:sz w:val="12"/>
                                <w:szCs w:val="12"/>
                              </w:rPr>
                              <w:t>(</w:t>
                            </w:r>
                            <w:r w:rsidR="00932919" w:rsidRPr="00B37662">
                              <w:rPr>
                                <w:rFonts w:cs="Arial"/>
                                <w:sz w:val="12"/>
                                <w:szCs w:val="12"/>
                              </w:rPr>
                              <w:t>201</w:t>
                            </w:r>
                            <w:r w:rsidR="00932919">
                              <w:rPr>
                                <w:rFonts w:cs="Arial"/>
                                <w:sz w:val="12"/>
                                <w:szCs w:val="12"/>
                              </w:rPr>
                              <w:t>8</w:t>
                            </w:r>
                            <w:r w:rsidR="00932919" w:rsidRPr="00B37662">
                              <w:rPr>
                                <w:rFonts w:cs="Arial"/>
                                <w:sz w:val="12"/>
                                <w:szCs w:val="12"/>
                              </w:rPr>
                              <w:t xml:space="preserve">, </w:t>
                            </w:r>
                            <w:r w:rsidR="00932919">
                              <w:rPr>
                                <w:rFonts w:cs="Arial"/>
                                <w:sz w:val="12"/>
                                <w:szCs w:val="12"/>
                              </w:rPr>
                              <w:t>19</w:t>
                            </w:r>
                            <w:r w:rsidR="00932919" w:rsidRPr="00B37662">
                              <w:rPr>
                                <w:rFonts w:cs="Arial"/>
                                <w:sz w:val="12"/>
                                <w:szCs w:val="12"/>
                              </w:rPr>
                              <w:t xml:space="preserve"> de </w:t>
                            </w:r>
                            <w:r w:rsidR="00932919">
                              <w:rPr>
                                <w:rFonts w:cs="Arial"/>
                                <w:sz w:val="12"/>
                                <w:szCs w:val="12"/>
                              </w:rPr>
                              <w:t>enero</w:t>
                            </w:r>
                            <w:r w:rsidR="00B15828" w:rsidRPr="00B15828">
                              <w:rPr>
                                <w:rFonts w:cs="Arial"/>
                                <w:sz w:val="12"/>
                                <w:szCs w:val="12"/>
                              </w:rPr>
                              <w:t>).</w:t>
                            </w:r>
                          </w:p>
                          <w:p w14:paraId="7A13ACE3" w14:textId="77777777" w:rsidR="0010373C" w:rsidRPr="005B6793" w:rsidRDefault="0010373C" w:rsidP="00B15828">
                            <w:pPr>
                              <w:spacing w:before="120" w:after="60"/>
                              <w:ind w:right="108"/>
                              <w:rPr>
                                <w:rFonts w:cs="Arial"/>
                                <w:sz w:val="12"/>
                                <w:szCs w:val="1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647B7" id="AutoShape 3" o:spid="_x0000_s1027" style="position:absolute;margin-left:-9pt;margin-top:1.3pt;width:423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">
                <v:textbox>
                  <w:txbxContent>
                    <w:p w14:paraId="1D71F2BE" w14:textId="77777777" w:rsidR="00BF31F6" w:rsidRDefault="0010373C" w:rsidP="007F2C3E">
                      <w:pPr>
                        <w:spacing w:before="120" w:after="60"/>
                        <w:ind w:right="108"/>
                        <w:rPr>
                          <w:rFonts w:cs="Arial"/>
                          <w:b/>
                          <w:sz w:val="16"/>
                          <w:szCs w:val="16"/>
                        </w:rPr>
                      </w:pPr>
                      <w:r>
                        <w:rPr>
                          <w:rFonts w:cs="Arial"/>
                          <w:b/>
                          <w:sz w:val="16"/>
                          <w:szCs w:val="16"/>
                        </w:rPr>
                        <w:t>R</w:t>
                      </w:r>
                      <w:r w:rsidR="00F8348E">
                        <w:rPr>
                          <w:rFonts w:cs="Arial"/>
                          <w:b/>
                          <w:sz w:val="16"/>
                          <w:szCs w:val="16"/>
                        </w:rPr>
                        <w:t>eferente de evaluación</w:t>
                      </w:r>
                    </w:p>
                    <w:p w14:paraId="377A1992" w14:textId="77777777" w:rsidR="00607C5C" w:rsidRPr="002A2491" w:rsidRDefault="001C67A8" w:rsidP="00607C5C">
                      <w:pPr>
                        <w:spacing w:before="120" w:after="60"/>
                        <w:ind w:right="108"/>
                        <w:rPr>
                          <w:rFonts w:cs="Arial"/>
                          <w:sz w:val="16"/>
                          <w:szCs w:val="16"/>
                        </w:rPr>
                      </w:pPr>
                      <w:r>
                        <w:rPr>
                          <w:rFonts w:cs="Arial"/>
                          <w:sz w:val="16"/>
                          <w:szCs w:val="16"/>
                        </w:rPr>
                        <w:t>Idealmente</w:t>
                      </w:r>
                      <w:r w:rsidR="003D4A57">
                        <w:rPr>
                          <w:rFonts w:cs="Arial"/>
                          <w:sz w:val="16"/>
                          <w:szCs w:val="16"/>
                        </w:rPr>
                        <w:t>,</w:t>
                      </w:r>
                      <w:r>
                        <w:rPr>
                          <w:rFonts w:cs="Arial"/>
                          <w:sz w:val="16"/>
                          <w:szCs w:val="16"/>
                        </w:rPr>
                        <w:t xml:space="preserve"> </w:t>
                      </w:r>
                      <w:r w:rsidR="00607C5C">
                        <w:rPr>
                          <w:rFonts w:cs="Arial"/>
                          <w:sz w:val="16"/>
                          <w:szCs w:val="16"/>
                        </w:rPr>
                        <w:t xml:space="preserve">la población </w:t>
                      </w:r>
                      <w:r w:rsidR="00680FC0">
                        <w:rPr>
                          <w:rFonts w:cs="Arial"/>
                          <w:sz w:val="16"/>
                          <w:szCs w:val="16"/>
                        </w:rPr>
                        <w:t>debe mantener una trayectoria apegada a las edades idóneas</w:t>
                      </w:r>
                      <w:r w:rsidR="000C4AAD">
                        <w:rPr>
                          <w:rFonts w:cs="Arial"/>
                          <w:sz w:val="16"/>
                          <w:szCs w:val="16"/>
                        </w:rPr>
                        <w:t xml:space="preserve"> en educación básica, </w:t>
                      </w:r>
                      <w:r w:rsidR="00607C5C">
                        <w:rPr>
                          <w:rFonts w:cs="Arial"/>
                          <w:sz w:val="16"/>
                          <w:szCs w:val="16"/>
                        </w:rPr>
                        <w:t xml:space="preserve">por lo que </w:t>
                      </w:r>
                      <w:r w:rsidR="00340A5E">
                        <w:rPr>
                          <w:rFonts w:cs="Arial"/>
                          <w:sz w:val="16"/>
                          <w:szCs w:val="16"/>
                        </w:rPr>
                        <w:t>el referente de</w:t>
                      </w:r>
                      <w:r w:rsidR="000C4AAD">
                        <w:rPr>
                          <w:rFonts w:cs="Arial"/>
                          <w:sz w:val="16"/>
                          <w:szCs w:val="16"/>
                        </w:rPr>
                        <w:t>l</w:t>
                      </w:r>
                      <w:r w:rsidR="00607C5C">
                        <w:rPr>
                          <w:rFonts w:cs="Arial"/>
                          <w:sz w:val="16"/>
                          <w:szCs w:val="16"/>
                        </w:rPr>
                        <w:t xml:space="preserve"> indicador </w:t>
                      </w:r>
                      <w:r w:rsidR="00E6208F">
                        <w:rPr>
                          <w:rFonts w:cs="Arial"/>
                          <w:sz w:val="16"/>
                          <w:szCs w:val="16"/>
                        </w:rPr>
                        <w:t>es</w:t>
                      </w:r>
                      <w:r w:rsidR="00607C5C">
                        <w:rPr>
                          <w:rFonts w:cs="Arial"/>
                          <w:sz w:val="16"/>
                          <w:szCs w:val="16"/>
                        </w:rPr>
                        <w:t xml:space="preserve"> </w:t>
                      </w:r>
                      <w:r w:rsidR="003D13D6">
                        <w:rPr>
                          <w:rFonts w:cs="Arial"/>
                          <w:sz w:val="16"/>
                          <w:szCs w:val="16"/>
                        </w:rPr>
                        <w:t>0%</w:t>
                      </w:r>
                      <w:r w:rsidR="00560947">
                        <w:rPr>
                          <w:rFonts w:cs="Arial"/>
                          <w:sz w:val="16"/>
                          <w:szCs w:val="16"/>
                        </w:rPr>
                        <w:t>.</w:t>
                      </w:r>
                    </w:p>
                    <w:p w14:paraId="6233D8DE" w14:textId="6800BD31" w:rsidR="00B15828" w:rsidRPr="00B15828" w:rsidRDefault="00B67894" w:rsidP="00B15828">
                      <w:pPr>
                        <w:ind w:right="108"/>
                        <w:rPr>
                          <w:rFonts w:cs="Arial"/>
                          <w:sz w:val="12"/>
                          <w:szCs w:val="12"/>
                        </w:rPr>
                      </w:pPr>
                      <w:r>
                        <w:rPr>
                          <w:rFonts w:cs="Arial"/>
                          <w:sz w:val="12"/>
                          <w:szCs w:val="12"/>
                        </w:rPr>
                        <w:t>Ver a</w:t>
                      </w:r>
                      <w:r w:rsidR="00B15828" w:rsidRPr="00B15828">
                        <w:rPr>
                          <w:rFonts w:cs="Arial"/>
                          <w:sz w:val="12"/>
                          <w:szCs w:val="12"/>
                        </w:rPr>
                        <w:t>rtículo</w:t>
                      </w:r>
                      <w:r w:rsidR="00F55611">
                        <w:rPr>
                          <w:rFonts w:cs="Arial"/>
                          <w:sz w:val="12"/>
                          <w:szCs w:val="12"/>
                        </w:rPr>
                        <w:t>s</w:t>
                      </w:r>
                      <w:r w:rsidR="00B15828" w:rsidRPr="00B15828">
                        <w:rPr>
                          <w:rFonts w:cs="Arial"/>
                          <w:sz w:val="12"/>
                          <w:szCs w:val="12"/>
                        </w:rPr>
                        <w:t xml:space="preserve"> 3° y 31 de la </w:t>
                      </w:r>
                      <w:r w:rsidR="00B15828" w:rsidRPr="00282AB0">
                        <w:rPr>
                          <w:rFonts w:cs="Arial"/>
                          <w:sz w:val="12"/>
                          <w:szCs w:val="12"/>
                        </w:rPr>
                        <w:t>CPEUM</w:t>
                      </w:r>
                      <w:r w:rsidR="00B15828" w:rsidRPr="00B15828">
                        <w:rPr>
                          <w:rFonts w:cs="Arial"/>
                          <w:sz w:val="12"/>
                          <w:szCs w:val="12"/>
                        </w:rPr>
                        <w:t xml:space="preserve"> (</w:t>
                      </w:r>
                      <w:r w:rsidR="00932919" w:rsidRPr="00B37662">
                        <w:rPr>
                          <w:rFonts w:cs="Arial"/>
                          <w:sz w:val="12"/>
                          <w:szCs w:val="12"/>
                        </w:rPr>
                        <w:t>201</w:t>
                      </w:r>
                      <w:r w:rsidR="00932919">
                        <w:rPr>
                          <w:rFonts w:cs="Arial"/>
                          <w:sz w:val="12"/>
                          <w:szCs w:val="12"/>
                        </w:rPr>
                        <w:t>8</w:t>
                      </w:r>
                      <w:r w:rsidR="00932919" w:rsidRPr="00B37662">
                        <w:rPr>
                          <w:rFonts w:cs="Arial"/>
                          <w:sz w:val="12"/>
                          <w:szCs w:val="12"/>
                        </w:rPr>
                        <w:t xml:space="preserve">, </w:t>
                      </w:r>
                      <w:r w:rsidR="00932919">
                        <w:rPr>
                          <w:rFonts w:cs="Arial"/>
                          <w:sz w:val="12"/>
                          <w:szCs w:val="12"/>
                        </w:rPr>
                        <w:t>27</w:t>
                      </w:r>
                      <w:r w:rsidR="00932919" w:rsidRPr="00B37662">
                        <w:rPr>
                          <w:rFonts w:cs="Arial"/>
                          <w:sz w:val="12"/>
                          <w:szCs w:val="12"/>
                        </w:rPr>
                        <w:t xml:space="preserve"> de </w:t>
                      </w:r>
                      <w:r w:rsidR="00932919">
                        <w:rPr>
                          <w:rFonts w:cs="Arial"/>
                          <w:sz w:val="12"/>
                          <w:szCs w:val="12"/>
                        </w:rPr>
                        <w:t>agosto</w:t>
                      </w:r>
                      <w:r w:rsidR="00B15828" w:rsidRPr="00B15828">
                        <w:rPr>
                          <w:rFonts w:cs="Arial"/>
                          <w:sz w:val="12"/>
                          <w:szCs w:val="12"/>
                        </w:rPr>
                        <w:t xml:space="preserve">) y </w:t>
                      </w:r>
                      <w:r w:rsidR="00C6442B">
                        <w:rPr>
                          <w:rFonts w:cs="Arial"/>
                          <w:sz w:val="12"/>
                          <w:szCs w:val="12"/>
                        </w:rPr>
                        <w:t>a</w:t>
                      </w:r>
                      <w:r w:rsidR="00B15828" w:rsidRPr="00B15828">
                        <w:rPr>
                          <w:rFonts w:cs="Arial"/>
                          <w:sz w:val="12"/>
                          <w:szCs w:val="12"/>
                        </w:rPr>
                        <w:t xml:space="preserve">rtículos 2°, 3°, 4° y 65 de la </w:t>
                      </w:r>
                      <w:r w:rsidR="00B15828" w:rsidRPr="00282AB0">
                        <w:rPr>
                          <w:rFonts w:cs="Arial"/>
                          <w:sz w:val="12"/>
                          <w:szCs w:val="12"/>
                        </w:rPr>
                        <w:t>LGE</w:t>
                      </w:r>
                      <w:r w:rsidR="00B15828" w:rsidRPr="00A9512E">
                        <w:rPr>
                          <w:rFonts w:cs="Arial"/>
                          <w:sz w:val="12"/>
                          <w:szCs w:val="12"/>
                        </w:rPr>
                        <w:t xml:space="preserve"> </w:t>
                      </w:r>
                      <w:r w:rsidR="00B15828" w:rsidRPr="00B15828">
                        <w:rPr>
                          <w:rFonts w:cs="Arial"/>
                          <w:sz w:val="12"/>
                          <w:szCs w:val="12"/>
                        </w:rPr>
                        <w:t>(</w:t>
                      </w:r>
                      <w:r w:rsidR="00932919" w:rsidRPr="00B37662">
                        <w:rPr>
                          <w:rFonts w:cs="Arial"/>
                          <w:sz w:val="12"/>
                          <w:szCs w:val="12"/>
                        </w:rPr>
                        <w:t>201</w:t>
                      </w:r>
                      <w:r w:rsidR="00932919">
                        <w:rPr>
                          <w:rFonts w:cs="Arial"/>
                          <w:sz w:val="12"/>
                          <w:szCs w:val="12"/>
                        </w:rPr>
                        <w:t>8</w:t>
                      </w:r>
                      <w:r w:rsidR="00932919" w:rsidRPr="00B37662">
                        <w:rPr>
                          <w:rFonts w:cs="Arial"/>
                          <w:sz w:val="12"/>
                          <w:szCs w:val="12"/>
                        </w:rPr>
                        <w:t xml:space="preserve">, </w:t>
                      </w:r>
                      <w:r w:rsidR="00932919">
                        <w:rPr>
                          <w:rFonts w:cs="Arial"/>
                          <w:sz w:val="12"/>
                          <w:szCs w:val="12"/>
                        </w:rPr>
                        <w:t>19</w:t>
                      </w:r>
                      <w:r w:rsidR="00932919" w:rsidRPr="00B37662">
                        <w:rPr>
                          <w:rFonts w:cs="Arial"/>
                          <w:sz w:val="12"/>
                          <w:szCs w:val="12"/>
                        </w:rPr>
                        <w:t xml:space="preserve"> de </w:t>
                      </w:r>
                      <w:r w:rsidR="00932919">
                        <w:rPr>
                          <w:rFonts w:cs="Arial"/>
                          <w:sz w:val="12"/>
                          <w:szCs w:val="12"/>
                        </w:rPr>
                        <w:t>enero</w:t>
                      </w:r>
                      <w:r w:rsidR="00B15828" w:rsidRPr="00B15828">
                        <w:rPr>
                          <w:rFonts w:cs="Arial"/>
                          <w:sz w:val="12"/>
                          <w:szCs w:val="12"/>
                        </w:rPr>
                        <w:t>).</w:t>
                      </w:r>
                    </w:p>
                    <w:p w14:paraId="7A13ACE3" w14:textId="77777777" w:rsidR="0010373C" w:rsidRPr="005B6793" w:rsidRDefault="0010373C" w:rsidP="00B15828">
                      <w:pPr>
                        <w:spacing w:before="120" w:after="60"/>
                        <w:ind w:right="108"/>
                        <w:rPr>
                          <w:rFonts w:cs="Arial"/>
                          <w:sz w:val="12"/>
                          <w:szCs w:val="12"/>
                        </w:rPr>
                      </w:pPr>
                    </w:p>
                  </w:txbxContent>
                </v:textbox>
              </v:roundrect>
            </w:pict>
          </mc:Fallback>
        </mc:AlternateContent>
      </w:r>
    </w:p>
    <w:p w14:paraId="09DD1885" w14:textId="77777777" w:rsidR="008E3CFB" w:rsidRDefault="008E3CFB"/>
    <w:sectPr w:rsidR="008E3CFB" w:rsidSect="008938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w:charset w:val="00"/>
    <w:family w:val="swiss"/>
    <w:pitch w:val="variable"/>
    <w:sig w:usb0="00000001"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E9"/>
    <w:rsid w:val="000057C3"/>
    <w:rsid w:val="00011455"/>
    <w:rsid w:val="00026151"/>
    <w:rsid w:val="00026D3B"/>
    <w:rsid w:val="00036C2B"/>
    <w:rsid w:val="000621B0"/>
    <w:rsid w:val="00063531"/>
    <w:rsid w:val="00073CB3"/>
    <w:rsid w:val="00075F62"/>
    <w:rsid w:val="000772E1"/>
    <w:rsid w:val="000A2746"/>
    <w:rsid w:val="000A777D"/>
    <w:rsid w:val="000C4AAD"/>
    <w:rsid w:val="000D12AD"/>
    <w:rsid w:val="000D248D"/>
    <w:rsid w:val="000E16A3"/>
    <w:rsid w:val="000E2C21"/>
    <w:rsid w:val="000E40C8"/>
    <w:rsid w:val="000F1174"/>
    <w:rsid w:val="000F4730"/>
    <w:rsid w:val="000F5649"/>
    <w:rsid w:val="0010373C"/>
    <w:rsid w:val="00112B94"/>
    <w:rsid w:val="00114EBC"/>
    <w:rsid w:val="00117C2E"/>
    <w:rsid w:val="00122539"/>
    <w:rsid w:val="00154497"/>
    <w:rsid w:val="00157858"/>
    <w:rsid w:val="00167428"/>
    <w:rsid w:val="00167E49"/>
    <w:rsid w:val="0017044B"/>
    <w:rsid w:val="00190E28"/>
    <w:rsid w:val="00191C71"/>
    <w:rsid w:val="001A3C15"/>
    <w:rsid w:val="001B506F"/>
    <w:rsid w:val="001C31DD"/>
    <w:rsid w:val="001C67A8"/>
    <w:rsid w:val="001D1618"/>
    <w:rsid w:val="001D2803"/>
    <w:rsid w:val="001D3B55"/>
    <w:rsid w:val="001E41A7"/>
    <w:rsid w:val="001F0010"/>
    <w:rsid w:val="002026B8"/>
    <w:rsid w:val="00206401"/>
    <w:rsid w:val="002101F0"/>
    <w:rsid w:val="0021042C"/>
    <w:rsid w:val="0021124C"/>
    <w:rsid w:val="00214FA8"/>
    <w:rsid w:val="00224633"/>
    <w:rsid w:val="00232A8D"/>
    <w:rsid w:val="00236F80"/>
    <w:rsid w:val="00240D80"/>
    <w:rsid w:val="00240F40"/>
    <w:rsid w:val="00242743"/>
    <w:rsid w:val="00250DDC"/>
    <w:rsid w:val="002537A5"/>
    <w:rsid w:val="00253B9A"/>
    <w:rsid w:val="002636D3"/>
    <w:rsid w:val="00263C9D"/>
    <w:rsid w:val="00265F53"/>
    <w:rsid w:val="00276A36"/>
    <w:rsid w:val="0027720D"/>
    <w:rsid w:val="00282AB0"/>
    <w:rsid w:val="0029652B"/>
    <w:rsid w:val="002A2491"/>
    <w:rsid w:val="002A2F2C"/>
    <w:rsid w:val="002B77FA"/>
    <w:rsid w:val="002D5EA6"/>
    <w:rsid w:val="002D5FDC"/>
    <w:rsid w:val="002E0870"/>
    <w:rsid w:val="002E5E4B"/>
    <w:rsid w:val="002E5EAC"/>
    <w:rsid w:val="00307E52"/>
    <w:rsid w:val="0031236C"/>
    <w:rsid w:val="00312EFA"/>
    <w:rsid w:val="003133CC"/>
    <w:rsid w:val="00322E6D"/>
    <w:rsid w:val="00325532"/>
    <w:rsid w:val="003309F0"/>
    <w:rsid w:val="00335180"/>
    <w:rsid w:val="00340A5E"/>
    <w:rsid w:val="00341FBF"/>
    <w:rsid w:val="00344A29"/>
    <w:rsid w:val="0034513F"/>
    <w:rsid w:val="0034581F"/>
    <w:rsid w:val="003508F1"/>
    <w:rsid w:val="003608A2"/>
    <w:rsid w:val="003732A2"/>
    <w:rsid w:val="00380EA3"/>
    <w:rsid w:val="003B050C"/>
    <w:rsid w:val="003B3690"/>
    <w:rsid w:val="003B7B67"/>
    <w:rsid w:val="003C1F5C"/>
    <w:rsid w:val="003C590C"/>
    <w:rsid w:val="003C70C9"/>
    <w:rsid w:val="003C7372"/>
    <w:rsid w:val="003C7DFE"/>
    <w:rsid w:val="003D13D6"/>
    <w:rsid w:val="003D4A57"/>
    <w:rsid w:val="003D7CB4"/>
    <w:rsid w:val="003E2CE9"/>
    <w:rsid w:val="003F35E4"/>
    <w:rsid w:val="003F6EC1"/>
    <w:rsid w:val="003F7E86"/>
    <w:rsid w:val="0040046F"/>
    <w:rsid w:val="00405879"/>
    <w:rsid w:val="00406F46"/>
    <w:rsid w:val="00423773"/>
    <w:rsid w:val="00436F49"/>
    <w:rsid w:val="0044047C"/>
    <w:rsid w:val="00442750"/>
    <w:rsid w:val="004570C4"/>
    <w:rsid w:val="0047790A"/>
    <w:rsid w:val="004808B7"/>
    <w:rsid w:val="0048617A"/>
    <w:rsid w:val="00491069"/>
    <w:rsid w:val="004925A8"/>
    <w:rsid w:val="00496ABF"/>
    <w:rsid w:val="00496FCD"/>
    <w:rsid w:val="004B10E6"/>
    <w:rsid w:val="004B1DF4"/>
    <w:rsid w:val="004C4A34"/>
    <w:rsid w:val="004D586D"/>
    <w:rsid w:val="004E7BB1"/>
    <w:rsid w:val="004F2F95"/>
    <w:rsid w:val="005017EB"/>
    <w:rsid w:val="0050531D"/>
    <w:rsid w:val="0050716D"/>
    <w:rsid w:val="00516CB3"/>
    <w:rsid w:val="0052638F"/>
    <w:rsid w:val="00546903"/>
    <w:rsid w:val="00554777"/>
    <w:rsid w:val="00556182"/>
    <w:rsid w:val="00560947"/>
    <w:rsid w:val="00565647"/>
    <w:rsid w:val="005729A0"/>
    <w:rsid w:val="0057414E"/>
    <w:rsid w:val="00584538"/>
    <w:rsid w:val="005A19DD"/>
    <w:rsid w:val="005A672E"/>
    <w:rsid w:val="005B4069"/>
    <w:rsid w:val="005B6793"/>
    <w:rsid w:val="005B6BB7"/>
    <w:rsid w:val="005B6E32"/>
    <w:rsid w:val="005E618F"/>
    <w:rsid w:val="005F5536"/>
    <w:rsid w:val="00602250"/>
    <w:rsid w:val="00603E80"/>
    <w:rsid w:val="00607C5C"/>
    <w:rsid w:val="00611A61"/>
    <w:rsid w:val="006148C8"/>
    <w:rsid w:val="0061564F"/>
    <w:rsid w:val="0063170E"/>
    <w:rsid w:val="00631A2A"/>
    <w:rsid w:val="00633DE0"/>
    <w:rsid w:val="0064532C"/>
    <w:rsid w:val="0065722F"/>
    <w:rsid w:val="006577FF"/>
    <w:rsid w:val="00663734"/>
    <w:rsid w:val="0068098A"/>
    <w:rsid w:val="00680FC0"/>
    <w:rsid w:val="0068301B"/>
    <w:rsid w:val="006934B2"/>
    <w:rsid w:val="006D3B70"/>
    <w:rsid w:val="006D53BC"/>
    <w:rsid w:val="006D6D6B"/>
    <w:rsid w:val="006E1F2C"/>
    <w:rsid w:val="006E291D"/>
    <w:rsid w:val="006F0E00"/>
    <w:rsid w:val="00700325"/>
    <w:rsid w:val="007163A9"/>
    <w:rsid w:val="00717D3D"/>
    <w:rsid w:val="007246B3"/>
    <w:rsid w:val="00732A53"/>
    <w:rsid w:val="00735C3C"/>
    <w:rsid w:val="00743B8C"/>
    <w:rsid w:val="00750CAB"/>
    <w:rsid w:val="007516CE"/>
    <w:rsid w:val="007519A5"/>
    <w:rsid w:val="0075696A"/>
    <w:rsid w:val="00756C72"/>
    <w:rsid w:val="00772180"/>
    <w:rsid w:val="00774D3F"/>
    <w:rsid w:val="007756EC"/>
    <w:rsid w:val="00780471"/>
    <w:rsid w:val="007856E3"/>
    <w:rsid w:val="007A313E"/>
    <w:rsid w:val="007B0593"/>
    <w:rsid w:val="007B14FF"/>
    <w:rsid w:val="007C3092"/>
    <w:rsid w:val="007C45E1"/>
    <w:rsid w:val="007C4C3E"/>
    <w:rsid w:val="007D5C68"/>
    <w:rsid w:val="007E155C"/>
    <w:rsid w:val="007E2403"/>
    <w:rsid w:val="007E5955"/>
    <w:rsid w:val="007F2092"/>
    <w:rsid w:val="007F2C3E"/>
    <w:rsid w:val="007F3C63"/>
    <w:rsid w:val="0080429D"/>
    <w:rsid w:val="008153EA"/>
    <w:rsid w:val="00816DA0"/>
    <w:rsid w:val="00822364"/>
    <w:rsid w:val="008259AE"/>
    <w:rsid w:val="00825F2E"/>
    <w:rsid w:val="0083109C"/>
    <w:rsid w:val="0084571F"/>
    <w:rsid w:val="008461ED"/>
    <w:rsid w:val="00846682"/>
    <w:rsid w:val="00854873"/>
    <w:rsid w:val="008616AA"/>
    <w:rsid w:val="00862F5D"/>
    <w:rsid w:val="00864432"/>
    <w:rsid w:val="00866732"/>
    <w:rsid w:val="00874E25"/>
    <w:rsid w:val="00874FAC"/>
    <w:rsid w:val="00883166"/>
    <w:rsid w:val="0088757B"/>
    <w:rsid w:val="0089222A"/>
    <w:rsid w:val="00893836"/>
    <w:rsid w:val="00894659"/>
    <w:rsid w:val="008A24D8"/>
    <w:rsid w:val="008A6C8C"/>
    <w:rsid w:val="008B025E"/>
    <w:rsid w:val="008B6310"/>
    <w:rsid w:val="008C526E"/>
    <w:rsid w:val="008E3133"/>
    <w:rsid w:val="008E38B2"/>
    <w:rsid w:val="008E3CFB"/>
    <w:rsid w:val="008E5235"/>
    <w:rsid w:val="0090439B"/>
    <w:rsid w:val="009057BD"/>
    <w:rsid w:val="009275D7"/>
    <w:rsid w:val="00932919"/>
    <w:rsid w:val="00933ED7"/>
    <w:rsid w:val="00936CFF"/>
    <w:rsid w:val="00940716"/>
    <w:rsid w:val="009648CB"/>
    <w:rsid w:val="00965F32"/>
    <w:rsid w:val="00966F38"/>
    <w:rsid w:val="009803FD"/>
    <w:rsid w:val="00994B4A"/>
    <w:rsid w:val="009A12C5"/>
    <w:rsid w:val="009B199E"/>
    <w:rsid w:val="009B5516"/>
    <w:rsid w:val="009B7F68"/>
    <w:rsid w:val="009C3783"/>
    <w:rsid w:val="009C6E87"/>
    <w:rsid w:val="009D066F"/>
    <w:rsid w:val="009D6366"/>
    <w:rsid w:val="009D6876"/>
    <w:rsid w:val="009E177B"/>
    <w:rsid w:val="009E23FC"/>
    <w:rsid w:val="009E637A"/>
    <w:rsid w:val="009F6270"/>
    <w:rsid w:val="00A01692"/>
    <w:rsid w:val="00A059EB"/>
    <w:rsid w:val="00A20B87"/>
    <w:rsid w:val="00A25F87"/>
    <w:rsid w:val="00A30823"/>
    <w:rsid w:val="00A45082"/>
    <w:rsid w:val="00A45B29"/>
    <w:rsid w:val="00A517E1"/>
    <w:rsid w:val="00A54A1B"/>
    <w:rsid w:val="00A62ED8"/>
    <w:rsid w:val="00A64C9E"/>
    <w:rsid w:val="00A7048E"/>
    <w:rsid w:val="00A70AC0"/>
    <w:rsid w:val="00A740D0"/>
    <w:rsid w:val="00A77CC3"/>
    <w:rsid w:val="00A9512E"/>
    <w:rsid w:val="00AA126C"/>
    <w:rsid w:val="00AA2E0E"/>
    <w:rsid w:val="00AB31E9"/>
    <w:rsid w:val="00AB44F7"/>
    <w:rsid w:val="00AC3859"/>
    <w:rsid w:val="00AF2C2E"/>
    <w:rsid w:val="00AF3F5F"/>
    <w:rsid w:val="00B15828"/>
    <w:rsid w:val="00B17F61"/>
    <w:rsid w:val="00B2481D"/>
    <w:rsid w:val="00B26CCC"/>
    <w:rsid w:val="00B2796E"/>
    <w:rsid w:val="00B27971"/>
    <w:rsid w:val="00B310F0"/>
    <w:rsid w:val="00B41462"/>
    <w:rsid w:val="00B5104D"/>
    <w:rsid w:val="00B53271"/>
    <w:rsid w:val="00B67422"/>
    <w:rsid w:val="00B67894"/>
    <w:rsid w:val="00B80F98"/>
    <w:rsid w:val="00B84189"/>
    <w:rsid w:val="00B855D7"/>
    <w:rsid w:val="00BA3B60"/>
    <w:rsid w:val="00BA6AF1"/>
    <w:rsid w:val="00BB1A86"/>
    <w:rsid w:val="00BC4586"/>
    <w:rsid w:val="00BE570F"/>
    <w:rsid w:val="00BF1BD9"/>
    <w:rsid w:val="00BF31F6"/>
    <w:rsid w:val="00C03411"/>
    <w:rsid w:val="00C072F0"/>
    <w:rsid w:val="00C13573"/>
    <w:rsid w:val="00C17976"/>
    <w:rsid w:val="00C43A96"/>
    <w:rsid w:val="00C6442B"/>
    <w:rsid w:val="00C67D27"/>
    <w:rsid w:val="00C73342"/>
    <w:rsid w:val="00C804E0"/>
    <w:rsid w:val="00C87D35"/>
    <w:rsid w:val="00C93481"/>
    <w:rsid w:val="00C973BC"/>
    <w:rsid w:val="00CA40B7"/>
    <w:rsid w:val="00CB3AD2"/>
    <w:rsid w:val="00CB59C0"/>
    <w:rsid w:val="00CC1D62"/>
    <w:rsid w:val="00CC63F5"/>
    <w:rsid w:val="00CD436E"/>
    <w:rsid w:val="00CE01E8"/>
    <w:rsid w:val="00CF2274"/>
    <w:rsid w:val="00D07B2E"/>
    <w:rsid w:val="00D102CA"/>
    <w:rsid w:val="00D11BA4"/>
    <w:rsid w:val="00D244EB"/>
    <w:rsid w:val="00D457C1"/>
    <w:rsid w:val="00D50389"/>
    <w:rsid w:val="00D54D9E"/>
    <w:rsid w:val="00D56236"/>
    <w:rsid w:val="00D60699"/>
    <w:rsid w:val="00D639B9"/>
    <w:rsid w:val="00D67358"/>
    <w:rsid w:val="00D86E30"/>
    <w:rsid w:val="00D951DF"/>
    <w:rsid w:val="00DB3156"/>
    <w:rsid w:val="00DB604C"/>
    <w:rsid w:val="00DC1DCE"/>
    <w:rsid w:val="00DE2232"/>
    <w:rsid w:val="00DE2B6B"/>
    <w:rsid w:val="00DE61DD"/>
    <w:rsid w:val="00DF535F"/>
    <w:rsid w:val="00E0180E"/>
    <w:rsid w:val="00E01E82"/>
    <w:rsid w:val="00E02B6C"/>
    <w:rsid w:val="00E1062F"/>
    <w:rsid w:val="00E1200B"/>
    <w:rsid w:val="00E13036"/>
    <w:rsid w:val="00E135B0"/>
    <w:rsid w:val="00E179A4"/>
    <w:rsid w:val="00E36C40"/>
    <w:rsid w:val="00E412E8"/>
    <w:rsid w:val="00E532EF"/>
    <w:rsid w:val="00E5689C"/>
    <w:rsid w:val="00E573DF"/>
    <w:rsid w:val="00E6208F"/>
    <w:rsid w:val="00E629A1"/>
    <w:rsid w:val="00E96AA8"/>
    <w:rsid w:val="00E971DF"/>
    <w:rsid w:val="00EA0F33"/>
    <w:rsid w:val="00EA1282"/>
    <w:rsid w:val="00EB34F4"/>
    <w:rsid w:val="00EC2A75"/>
    <w:rsid w:val="00EC7EE7"/>
    <w:rsid w:val="00ED47CA"/>
    <w:rsid w:val="00ED6662"/>
    <w:rsid w:val="00EE12A6"/>
    <w:rsid w:val="00EE2798"/>
    <w:rsid w:val="00EF1D12"/>
    <w:rsid w:val="00EF3BB6"/>
    <w:rsid w:val="00EF6E6A"/>
    <w:rsid w:val="00F10E17"/>
    <w:rsid w:val="00F30E47"/>
    <w:rsid w:val="00F42E42"/>
    <w:rsid w:val="00F55611"/>
    <w:rsid w:val="00F566F9"/>
    <w:rsid w:val="00F67369"/>
    <w:rsid w:val="00F7023B"/>
    <w:rsid w:val="00F70D28"/>
    <w:rsid w:val="00F70FFB"/>
    <w:rsid w:val="00F8348E"/>
    <w:rsid w:val="00F97707"/>
    <w:rsid w:val="00FA1D7F"/>
    <w:rsid w:val="00FA4C26"/>
    <w:rsid w:val="00FC4ED7"/>
    <w:rsid w:val="00FD582E"/>
    <w:rsid w:val="00FF0A05"/>
    <w:rsid w:val="00FF2E26"/>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06AF9"/>
  <w15:docId w15:val="{87CD7F43-A244-47F1-A299-7EEB853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E9"/>
    <w:rPr>
      <w:rFonts w:ascii="Arial" w:hAnsi="Arial"/>
      <w:sz w:val="24"/>
      <w:szCs w:val="24"/>
      <w:lang w:val="es-ES" w:eastAsia="es-ES"/>
    </w:rPr>
  </w:style>
  <w:style w:type="paragraph" w:styleId="Ttulo3">
    <w:name w:val="heading 3"/>
    <w:basedOn w:val="Normal"/>
    <w:next w:val="Normal"/>
    <w:qFormat/>
    <w:rsid w:val="00AB31E9"/>
    <w:pPr>
      <w:keepNext/>
      <w:ind w:left="180" w:right="110"/>
      <w:outlineLvl w:val="2"/>
    </w:pPr>
    <w:rPr>
      <w:rFonts w:ascii="Univers Condensed" w:hAnsi="Univers Condensed" w:cs="Arial"/>
      <w:b/>
      <w:bCs/>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B31E9"/>
    <w:pPr>
      <w:tabs>
        <w:tab w:val="center" w:pos="4419"/>
        <w:tab w:val="right" w:pos="8838"/>
      </w:tabs>
    </w:pPr>
  </w:style>
  <w:style w:type="table" w:styleId="Tablaconcuadrcula">
    <w:name w:val="Table Grid"/>
    <w:basedOn w:val="Tablanormal"/>
    <w:rsid w:val="00AB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E0870"/>
    <w:rPr>
      <w:rFonts w:ascii="Tahoma" w:hAnsi="Tahoma" w:cs="Tahoma"/>
      <w:sz w:val="16"/>
      <w:szCs w:val="16"/>
    </w:rPr>
  </w:style>
  <w:style w:type="character" w:styleId="Refdecomentario">
    <w:name w:val="annotation reference"/>
    <w:basedOn w:val="Fuentedeprrafopredeter"/>
    <w:semiHidden/>
    <w:rsid w:val="00263C9D"/>
    <w:rPr>
      <w:sz w:val="16"/>
      <w:szCs w:val="16"/>
    </w:rPr>
  </w:style>
  <w:style w:type="paragraph" w:styleId="Textocomentario">
    <w:name w:val="annotation text"/>
    <w:basedOn w:val="Normal"/>
    <w:semiHidden/>
    <w:rsid w:val="00263C9D"/>
    <w:rPr>
      <w:sz w:val="20"/>
      <w:szCs w:val="20"/>
    </w:rPr>
  </w:style>
  <w:style w:type="paragraph" w:styleId="Asuntodelcomentario">
    <w:name w:val="annotation subject"/>
    <w:basedOn w:val="Textocomentario"/>
    <w:next w:val="Textocomentario"/>
    <w:semiHidden/>
    <w:rsid w:val="00263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7791">
      <w:bodyDiv w:val="1"/>
      <w:marLeft w:val="0"/>
      <w:marRight w:val="0"/>
      <w:marTop w:val="0"/>
      <w:marBottom w:val="0"/>
      <w:divBdr>
        <w:top w:val="none" w:sz="0" w:space="0" w:color="auto"/>
        <w:left w:val="none" w:sz="0" w:space="0" w:color="auto"/>
        <w:bottom w:val="none" w:sz="0" w:space="0" w:color="auto"/>
        <w:right w:val="none" w:sz="0" w:space="0" w:color="auto"/>
      </w:divBdr>
    </w:div>
    <w:div w:id="1377200014">
      <w:bodyDiv w:val="1"/>
      <w:marLeft w:val="0"/>
      <w:marRight w:val="0"/>
      <w:marTop w:val="0"/>
      <w:marBottom w:val="0"/>
      <w:divBdr>
        <w:top w:val="none" w:sz="0" w:space="0" w:color="auto"/>
        <w:left w:val="none" w:sz="0" w:space="0" w:color="auto"/>
        <w:bottom w:val="none" w:sz="0" w:space="0" w:color="auto"/>
        <w:right w:val="none" w:sz="0" w:space="0" w:color="auto"/>
      </w:divBdr>
    </w:div>
    <w:div w:id="16948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4F60-3B21-4DE0-9F75-693070A0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CS04a Porcentaje de hogares con hijos* en edad escolar normativa básica según máximo nivel educativo alcanzado por el jefe del hogar o su cónyuge (2000 y 2005)</vt:lpstr>
    </vt:vector>
  </TitlesOfParts>
  <Company>INEE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CS04a Porcentaje de hogares con hijos* en edad escolar normativa básica según máximo nivel educativo alcanzado por el jefe del hogar o su cónyuge (2000 y 2005)</dc:title>
  <dc:creator>Mariel Escobar</dc:creator>
  <cp:lastModifiedBy>Cristina Mexicano Melgar</cp:lastModifiedBy>
  <cp:revision>2</cp:revision>
  <cp:lastPrinted>2012-07-02T20:47:00Z</cp:lastPrinted>
  <dcterms:created xsi:type="dcterms:W3CDTF">2019-01-24T22:15:00Z</dcterms:created>
  <dcterms:modified xsi:type="dcterms:W3CDTF">2019-01-24T22:15:00Z</dcterms:modified>
</cp:coreProperties>
</file>