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4CC6" w14:textId="77777777" w:rsidR="00BD5719" w:rsidRPr="006458D5" w:rsidRDefault="002230E3">
      <w:bookmarkStart w:id="0" w:name="_GoBack"/>
      <w:bookmarkEnd w:id="0"/>
      <w:r w:rsidRPr="006458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F35C7" wp14:editId="203F0CE7">
                <wp:simplePos x="0" y="0"/>
                <wp:positionH relativeFrom="column">
                  <wp:posOffset>-50678</wp:posOffset>
                </wp:positionH>
                <wp:positionV relativeFrom="paragraph">
                  <wp:posOffset>69905</wp:posOffset>
                </wp:positionV>
                <wp:extent cx="787232" cy="271284"/>
                <wp:effectExtent l="0" t="0" r="13335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232" cy="2712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0B2CB8" w14:textId="77777777" w:rsidR="00BD5719" w:rsidRPr="007F0CC8" w:rsidRDefault="00BD5719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AT03b</w:t>
                            </w:r>
                            <w:r w:rsidR="00521F10">
                              <w:rPr>
                                <w:sz w:val="20"/>
                                <w:szCs w:val="20"/>
                                <w:lang w:val="es-MX"/>
                              </w:rPr>
                              <w:t>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F35C7" id="AutoShape 2" o:spid="_x0000_s1026" style="position:absolute;margin-left:-4pt;margin-top:5.5pt;width:62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">
                <v:textbox>
                  <w:txbxContent>
                    <w:p w14:paraId="170B2CB8" w14:textId="77777777" w:rsidR="00BD5719" w:rsidRPr="007F0CC8" w:rsidRDefault="00BD5719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AT03b</w:t>
                      </w:r>
                      <w:r w:rsidR="00521F10">
                        <w:rPr>
                          <w:sz w:val="20"/>
                          <w:szCs w:val="20"/>
                          <w:lang w:val="es-MX"/>
                        </w:rPr>
                        <w:t>-A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3C4822" w14:textId="77777777" w:rsidR="00BD5719" w:rsidRPr="006458D5" w:rsidRDefault="00BD57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</w:tblGrid>
      <w:tr w:rsidR="00BD5719" w:rsidRPr="006458D5" w14:paraId="23019E28" w14:textId="77777777" w:rsidTr="00D4730A">
        <w:trPr>
          <w:trHeight w:val="571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14A8121A" w14:textId="77777777" w:rsidR="00BD5719" w:rsidRPr="006458D5" w:rsidRDefault="00BD5719" w:rsidP="00CF3D0E">
            <w:pPr>
              <w:tabs>
                <w:tab w:val="left" w:pos="0"/>
              </w:tabs>
              <w:ind w:right="11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6458D5">
              <w:rPr>
                <w:rFonts w:cs="Arial"/>
                <w:b/>
                <w:bCs/>
                <w:sz w:val="16"/>
                <w:szCs w:val="16"/>
              </w:rPr>
              <w:t>Nombre del indicador</w:t>
            </w:r>
          </w:p>
          <w:p w14:paraId="0ECB2971" w14:textId="77777777" w:rsidR="00BD5719" w:rsidRPr="006458D5" w:rsidRDefault="00BD5719" w:rsidP="00062B27">
            <w:pPr>
              <w:ind w:right="110"/>
              <w:jc w:val="both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Porcentaje de abandono durante la trayectoria ideal respecto a la generación escolar y respecto al total de desertores</w:t>
            </w:r>
          </w:p>
        </w:tc>
      </w:tr>
      <w:tr w:rsidR="00BD5719" w:rsidRPr="006458D5" w14:paraId="0039565B" w14:textId="77777777">
        <w:trPr>
          <w:trHeight w:val="881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D30A9" w14:textId="77777777" w:rsidR="00BD5719" w:rsidRPr="006458D5" w:rsidRDefault="00BD5719" w:rsidP="00B11F01">
            <w:pPr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Definición</w:t>
            </w:r>
          </w:p>
          <w:p w14:paraId="4AE08BDA" w14:textId="66F8A92C" w:rsidR="00BD5719" w:rsidRPr="006458D5" w:rsidRDefault="00BD5719" w:rsidP="00A7097E">
            <w:pPr>
              <w:tabs>
                <w:tab w:val="left" w:pos="0"/>
              </w:tabs>
              <w:ind w:right="110"/>
              <w:jc w:val="both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Estima el número de aban</w:t>
            </w:r>
            <w:r w:rsidR="004566BB">
              <w:rPr>
                <w:rFonts w:cs="Arial"/>
                <w:sz w:val="16"/>
                <w:szCs w:val="16"/>
              </w:rPr>
              <w:t>donos durante el tránsito ideal</w:t>
            </w:r>
            <w:r w:rsidR="00B710EF">
              <w:rPr>
                <w:rFonts w:cs="Arial"/>
                <w:sz w:val="14"/>
                <w:szCs w:val="14"/>
                <w:vertAlign w:val="superscript"/>
              </w:rPr>
              <w:t>1</w:t>
            </w:r>
            <w:r w:rsidRPr="006458D5">
              <w:rPr>
                <w:rFonts w:cs="Arial"/>
                <w:sz w:val="16"/>
                <w:szCs w:val="16"/>
              </w:rPr>
              <w:t xml:space="preserve"> de la generación escolar </w:t>
            </w:r>
            <w:r w:rsidR="00BB27C7" w:rsidRPr="006458D5">
              <w:rPr>
                <w:rFonts w:cs="Arial"/>
                <w:sz w:val="16"/>
                <w:szCs w:val="16"/>
              </w:rPr>
              <w:t xml:space="preserve">en </w:t>
            </w:r>
            <w:r w:rsidRPr="006458D5">
              <w:rPr>
                <w:rFonts w:cs="Arial"/>
                <w:sz w:val="16"/>
                <w:szCs w:val="16"/>
              </w:rPr>
              <w:t xml:space="preserve">el nivel educativo de referencia por cada </w:t>
            </w:r>
            <w:r w:rsidR="00C53FA8" w:rsidRPr="006458D5">
              <w:rPr>
                <w:rFonts w:cs="Arial"/>
                <w:sz w:val="16"/>
                <w:szCs w:val="16"/>
              </w:rPr>
              <w:t>cien</w:t>
            </w:r>
            <w:r w:rsidRPr="006458D5">
              <w:rPr>
                <w:rFonts w:cs="Arial"/>
                <w:sz w:val="16"/>
                <w:szCs w:val="16"/>
              </w:rPr>
              <w:t xml:space="preserve"> alumnos </w:t>
            </w:r>
            <w:r w:rsidR="00E00D84" w:rsidRPr="006458D5">
              <w:rPr>
                <w:rFonts w:cs="Arial"/>
                <w:sz w:val="16"/>
                <w:szCs w:val="16"/>
              </w:rPr>
              <w:t xml:space="preserve">matriculados </w:t>
            </w:r>
            <w:r w:rsidRPr="006458D5">
              <w:rPr>
                <w:rFonts w:cs="Arial"/>
                <w:sz w:val="16"/>
                <w:szCs w:val="16"/>
              </w:rPr>
              <w:t xml:space="preserve">de la </w:t>
            </w:r>
            <w:r w:rsidR="00E00D84" w:rsidRPr="006458D5">
              <w:rPr>
                <w:rFonts w:cs="Arial"/>
                <w:sz w:val="16"/>
                <w:szCs w:val="16"/>
              </w:rPr>
              <w:t xml:space="preserve">misma </w:t>
            </w:r>
            <w:r w:rsidRPr="006458D5">
              <w:rPr>
                <w:rFonts w:cs="Arial"/>
                <w:sz w:val="16"/>
                <w:szCs w:val="16"/>
              </w:rPr>
              <w:t>generación.</w:t>
            </w:r>
          </w:p>
          <w:p w14:paraId="2361F679" w14:textId="05C345CF" w:rsidR="00BD5719" w:rsidRPr="006458D5" w:rsidRDefault="00062B27" w:rsidP="003D3286">
            <w:pPr>
              <w:tabs>
                <w:tab w:val="left" w:pos="0"/>
              </w:tabs>
              <w:ind w:right="11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E</w:t>
            </w:r>
            <w:r w:rsidR="00BD5719" w:rsidRPr="006458D5">
              <w:rPr>
                <w:rFonts w:cs="Arial"/>
                <w:sz w:val="16"/>
                <w:szCs w:val="16"/>
              </w:rPr>
              <w:t xml:space="preserve">stima el número de </w:t>
            </w:r>
            <w:r w:rsidRPr="006458D5">
              <w:rPr>
                <w:rFonts w:cs="Arial"/>
                <w:sz w:val="16"/>
                <w:szCs w:val="16"/>
              </w:rPr>
              <w:t xml:space="preserve">alumnos que </w:t>
            </w:r>
            <w:r w:rsidR="00BD5719" w:rsidRPr="006458D5">
              <w:rPr>
                <w:rFonts w:cs="Arial"/>
                <w:sz w:val="16"/>
                <w:szCs w:val="16"/>
              </w:rPr>
              <w:t>abandon</w:t>
            </w:r>
            <w:r w:rsidRPr="006458D5">
              <w:rPr>
                <w:rFonts w:cs="Arial"/>
                <w:sz w:val="16"/>
                <w:szCs w:val="16"/>
              </w:rPr>
              <w:t>an</w:t>
            </w:r>
            <w:r w:rsidR="00BD5719" w:rsidRPr="006458D5">
              <w:rPr>
                <w:rFonts w:cs="Arial"/>
                <w:sz w:val="16"/>
                <w:szCs w:val="16"/>
              </w:rPr>
              <w:t xml:space="preserve"> </w:t>
            </w:r>
            <w:r w:rsidRPr="006458D5">
              <w:rPr>
                <w:rFonts w:cs="Arial"/>
                <w:sz w:val="16"/>
                <w:szCs w:val="16"/>
              </w:rPr>
              <w:t>sus estudios durante el tr</w:t>
            </w:r>
            <w:r w:rsidR="00AF3943" w:rsidRPr="006458D5">
              <w:rPr>
                <w:rFonts w:cs="Arial"/>
                <w:sz w:val="16"/>
                <w:szCs w:val="16"/>
              </w:rPr>
              <w:t>á</w:t>
            </w:r>
            <w:r w:rsidRPr="006458D5">
              <w:rPr>
                <w:rFonts w:cs="Arial"/>
                <w:sz w:val="16"/>
                <w:szCs w:val="16"/>
              </w:rPr>
              <w:t xml:space="preserve">nsito ideal por cada </w:t>
            </w:r>
            <w:r w:rsidR="00C53FA8" w:rsidRPr="006458D5">
              <w:rPr>
                <w:rFonts w:cs="Arial"/>
                <w:sz w:val="16"/>
                <w:szCs w:val="16"/>
              </w:rPr>
              <w:t>cien</w:t>
            </w:r>
            <w:r w:rsidRPr="006458D5">
              <w:rPr>
                <w:rFonts w:cs="Arial"/>
                <w:sz w:val="16"/>
                <w:szCs w:val="16"/>
              </w:rPr>
              <w:t xml:space="preserve"> alumnos que </w:t>
            </w:r>
            <w:r w:rsidR="003D3286" w:rsidRPr="006458D5">
              <w:rPr>
                <w:rFonts w:cs="Arial"/>
                <w:sz w:val="16"/>
                <w:szCs w:val="16"/>
              </w:rPr>
              <w:t>dejan la</w:t>
            </w:r>
            <w:r w:rsidRPr="006458D5">
              <w:rPr>
                <w:rFonts w:cs="Arial"/>
                <w:sz w:val="16"/>
                <w:szCs w:val="16"/>
              </w:rPr>
              <w:t xml:space="preserve"> generación escolar.</w:t>
            </w:r>
          </w:p>
        </w:tc>
      </w:tr>
      <w:tr w:rsidR="00BD5719" w:rsidRPr="006458D5" w14:paraId="142DBBE7" w14:textId="77777777">
        <w:trPr>
          <w:trHeight w:val="1530"/>
        </w:trPr>
        <w:tc>
          <w:tcPr>
            <w:tcW w:w="83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2B27EBB" w14:textId="77777777" w:rsidR="00BD5719" w:rsidRPr="006458D5" w:rsidRDefault="00BD5719" w:rsidP="00B11F01">
            <w:pPr>
              <w:ind w:right="-70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Fórmula de cálculo</w:t>
            </w:r>
          </w:p>
          <w:p w14:paraId="04B4A315" w14:textId="77777777" w:rsidR="00BD5719" w:rsidRPr="006458D5" w:rsidRDefault="00BD5719" w:rsidP="00B11F01">
            <w:pPr>
              <w:ind w:right="-70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Porcentaje de abandono respecto a la generación escolar:</w:t>
            </w:r>
          </w:p>
          <w:p w14:paraId="20E101A5" w14:textId="77777777" w:rsidR="00BD5719" w:rsidRPr="006458D5" w:rsidRDefault="00BD5719" w:rsidP="00265650">
            <w:pPr>
              <w:ind w:right="-70"/>
              <w:jc w:val="center"/>
              <w:rPr>
                <w:rFonts w:cs="Arial"/>
                <w:sz w:val="16"/>
                <w:szCs w:val="16"/>
              </w:rPr>
            </w:pPr>
            <w:r w:rsidRPr="006458D5">
              <w:rPr>
                <w:rFonts w:ascii="Tahoma" w:hAnsi="Tahoma" w:cs="Tahoma"/>
                <w:position w:val="-24"/>
                <w:sz w:val="20"/>
                <w:szCs w:val="20"/>
              </w:rPr>
              <w:object w:dxaOrig="480" w:dyaOrig="660" w14:anchorId="2DDEC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2.25pt" o:ole="" fillcolor="window">
                  <v:imagedata r:id="rId6" o:title=""/>
                </v:shape>
                <o:OLEObject Type="Embed" ProgID="Equation.3" ShapeID="_x0000_i1025" DrawAspect="Content" ObjectID="_1623744245" r:id="rId7"/>
              </w:object>
            </w:r>
            <w:r w:rsidRPr="006458D5">
              <w:rPr>
                <w:rFonts w:ascii="Cambria Math" w:hAnsi="Times New Roman"/>
              </w:rPr>
              <w:br/>
            </w:r>
          </w:p>
          <w:tbl>
            <w:tblPr>
              <w:tblpPr w:leftFromText="141" w:rightFromText="141" w:vertAnchor="text" w:horzAnchor="page" w:tblpX="1992" w:tblpY="73"/>
              <w:tblOverlap w:val="never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135"/>
              <w:gridCol w:w="7075"/>
            </w:tblGrid>
            <w:tr w:rsidR="00BD5719" w:rsidRPr="006458D5" w14:paraId="5CE02CFE" w14:textId="77777777" w:rsidTr="00B142E6">
              <w:trPr>
                <w:trHeight w:val="130"/>
              </w:trPr>
              <w:tc>
                <w:tcPr>
                  <w:tcW w:w="691" w:type="pct"/>
                </w:tcPr>
                <w:p w14:paraId="7308E670" w14:textId="77777777" w:rsidR="00BD5719" w:rsidRPr="006458D5" w:rsidRDefault="00BD5719" w:rsidP="00AA56DF">
                  <w:pPr>
                    <w:ind w:right="-70"/>
                  </w:pPr>
                  <w:r w:rsidRPr="006458D5">
                    <w:rPr>
                      <w:rFonts w:cs="Arial"/>
                      <w:iCs/>
                      <w:position w:val="-12"/>
                      <w:sz w:val="16"/>
                      <w:szCs w:val="16"/>
                    </w:rPr>
                    <w:object w:dxaOrig="420" w:dyaOrig="380" w14:anchorId="574F1814">
                      <v:shape id="_x0000_i1026" type="#_x0000_t75" style="width:20.25pt;height:20.25pt" o:ole="">
                        <v:imagedata r:id="rId8" o:title=""/>
                      </v:shape>
                      <o:OLEObject Type="Embed" ProgID="Equation.3" ShapeID="_x0000_i1026" DrawAspect="Content" ObjectID="_1623744246" r:id="rId9"/>
                    </w:object>
                  </w:r>
                </w:p>
              </w:tc>
              <w:tc>
                <w:tcPr>
                  <w:tcW w:w="4309" w:type="pct"/>
                  <w:tcMar>
                    <w:left w:w="57" w:type="dxa"/>
                    <w:bottom w:w="57" w:type="dxa"/>
                    <w:right w:w="57" w:type="dxa"/>
                  </w:tcMar>
                </w:tcPr>
                <w:p w14:paraId="377D4C2D" w14:textId="2F59C5A1" w:rsidR="00BD5719" w:rsidRPr="006458D5" w:rsidRDefault="00BD5719" w:rsidP="003E65D9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 xml:space="preserve">Número de alumnos que abandonan sus estudios durante el tránsito ideal por cada mil alumnos de una generación escolar en el nivel educativo </w:t>
                  </w:r>
                  <w:r w:rsidRPr="006458D5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105BAD22">
                      <v:shape id="_x0000_i1027" type="#_x0000_t75" style="width:18.75pt;height:12pt" o:ole="">
                        <v:imagedata r:id="rId10" o:title=""/>
                      </v:shape>
                      <o:OLEObject Type="Embed" ProgID="Equation.3" ShapeID="_x0000_i1027" DrawAspect="Content" ObjectID="_1623744247" r:id="rId11"/>
                    </w:object>
                  </w: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  <w:tr w:rsidR="00BD5719" w:rsidRPr="006458D5" w14:paraId="5645AD12" w14:textId="77777777" w:rsidTr="00B142E6">
              <w:trPr>
                <w:trHeight w:val="130"/>
              </w:trPr>
              <w:tc>
                <w:tcPr>
                  <w:tcW w:w="691" w:type="pct"/>
                </w:tcPr>
                <w:p w14:paraId="1F2AF387" w14:textId="77777777" w:rsidR="00BD5719" w:rsidRPr="006458D5" w:rsidRDefault="00BD5719" w:rsidP="00AA56DF">
                  <w:pPr>
                    <w:ind w:right="-70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6458D5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280D9A1D">
                      <v:shape id="_x0000_i1028" type="#_x0000_t75" style="width:17.25pt;height:12pt" o:ole="">
                        <v:imagedata r:id="rId12" o:title=""/>
                      </v:shape>
                      <o:OLEObject Type="Embed" ProgID="Equation.3" ShapeID="_x0000_i1028" DrawAspect="Content" ObjectID="_1623744248" r:id="rId13"/>
                    </w:object>
                  </w:r>
                </w:p>
              </w:tc>
              <w:tc>
                <w:tcPr>
                  <w:tcW w:w="4309" w:type="pct"/>
                  <w:tcMar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4DCD410F" w14:textId="77777777" w:rsidR="00BD5719" w:rsidRPr="006458D5" w:rsidRDefault="00BD5719" w:rsidP="005D3B67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>Nivel educativo: primaria, secundaria y ambos niveles.</w:t>
                  </w:r>
                </w:p>
              </w:tc>
            </w:tr>
          </w:tbl>
          <w:p w14:paraId="4A0D7676" w14:textId="77777777" w:rsidR="00BD5719" w:rsidRPr="006458D5" w:rsidRDefault="00BD5719" w:rsidP="00764594">
            <w:pPr>
              <w:rPr>
                <w:rFonts w:cs="Arial"/>
                <w:iCs/>
                <w:sz w:val="16"/>
                <w:szCs w:val="16"/>
              </w:rPr>
            </w:pPr>
          </w:p>
          <w:p w14:paraId="01866E6E" w14:textId="77777777" w:rsidR="00BD5719" w:rsidRPr="006458D5" w:rsidRDefault="00BD5719" w:rsidP="00764594">
            <w:pPr>
              <w:rPr>
                <w:rFonts w:cs="Arial"/>
                <w:iCs/>
                <w:sz w:val="16"/>
                <w:szCs w:val="16"/>
              </w:rPr>
            </w:pPr>
            <w:r w:rsidRPr="006458D5">
              <w:rPr>
                <w:rFonts w:cs="Arial"/>
                <w:iCs/>
                <w:sz w:val="16"/>
                <w:szCs w:val="16"/>
              </w:rPr>
              <w:t>Porcentaje de abandono respecto al total de desertores:</w:t>
            </w:r>
          </w:p>
          <w:p w14:paraId="1D47121C" w14:textId="77777777" w:rsidR="00BD5719" w:rsidRPr="006458D5" w:rsidRDefault="00BD5719" w:rsidP="00636050">
            <w:pPr>
              <w:jc w:val="center"/>
              <w:rPr>
                <w:rFonts w:cs="Arial"/>
                <w:sz w:val="16"/>
                <w:szCs w:val="16"/>
              </w:rPr>
            </w:pPr>
            <w:r w:rsidRPr="006458D5">
              <w:rPr>
                <w:rFonts w:ascii="Cambria Math" w:cs="Arial"/>
                <w:position w:val="-30"/>
                <w:sz w:val="16"/>
                <w:szCs w:val="16"/>
              </w:rPr>
              <w:object w:dxaOrig="999" w:dyaOrig="720" w14:anchorId="2CDE1D2F">
                <v:shape id="_x0000_i1029" type="#_x0000_t75" style="width:48.75pt;height:36pt" o:ole="">
                  <v:imagedata r:id="rId14" o:title=""/>
                </v:shape>
                <o:OLEObject Type="Embed" ProgID="Equation.3" ShapeID="_x0000_i1029" DrawAspect="Content" ObjectID="_1623744249" r:id="rId15"/>
              </w:object>
            </w:r>
            <w:r w:rsidRPr="006458D5">
              <w:rPr>
                <w:rFonts w:ascii="Cambria Math" w:cs="Arial"/>
                <w:sz w:val="16"/>
                <w:szCs w:val="16"/>
              </w:rPr>
              <w:br/>
            </w:r>
          </w:p>
          <w:tbl>
            <w:tblPr>
              <w:tblpPr w:leftFromText="141" w:rightFromText="141" w:vertAnchor="text" w:horzAnchor="page" w:tblpX="1992" w:tblpY="73"/>
              <w:tblOverlap w:val="never"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135"/>
              <w:gridCol w:w="7075"/>
            </w:tblGrid>
            <w:tr w:rsidR="00BD5719" w:rsidRPr="006458D5" w14:paraId="47F0DEA9" w14:textId="77777777" w:rsidTr="00B142E6">
              <w:trPr>
                <w:trHeight w:val="130"/>
              </w:trPr>
              <w:tc>
                <w:tcPr>
                  <w:tcW w:w="69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6CBA" w14:textId="77777777" w:rsidR="00BD5719" w:rsidRPr="006458D5" w:rsidRDefault="00BD5719" w:rsidP="00AA56DF">
                  <w:pPr>
                    <w:ind w:right="-70"/>
                  </w:pPr>
                  <w:r w:rsidRPr="006458D5">
                    <w:rPr>
                      <w:rFonts w:cs="Arial"/>
                      <w:iCs/>
                      <w:position w:val="-10"/>
                      <w:sz w:val="16"/>
                      <w:szCs w:val="16"/>
                    </w:rPr>
                    <w:object w:dxaOrig="460" w:dyaOrig="360" w14:anchorId="601254F6">
                      <v:shape id="_x0000_i1030" type="#_x0000_t75" style="width:22.5pt;height:17.25pt" o:ole="">
                        <v:imagedata r:id="rId16" o:title=""/>
                      </v:shape>
                      <o:OLEObject Type="Embed" ProgID="Equation.3" ShapeID="_x0000_i1030" DrawAspect="Content" ObjectID="_1623744250" r:id="rId17"/>
                    </w:object>
                  </w:r>
                </w:p>
              </w:tc>
              <w:tc>
                <w:tcPr>
                  <w:tcW w:w="4309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bottom w:w="57" w:type="dxa"/>
                    <w:right w:w="57" w:type="dxa"/>
                  </w:tcMar>
                </w:tcPr>
                <w:p w14:paraId="54EDF585" w14:textId="77777777" w:rsidR="00BD5719" w:rsidRPr="006458D5" w:rsidRDefault="00BD5719" w:rsidP="00C351E2">
                  <w:pPr>
                    <w:tabs>
                      <w:tab w:val="num" w:pos="510"/>
                    </w:tabs>
                    <w:ind w:right="-70"/>
                    <w:rPr>
                      <w:rFonts w:cs="Arial"/>
                      <w:sz w:val="16"/>
                      <w:szCs w:val="16"/>
                    </w:rPr>
                  </w:pP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>Número total de alumnos que abandonan</w:t>
                  </w:r>
                  <w:r w:rsidR="00046445" w:rsidRPr="006458D5">
                    <w:rPr>
                      <w:rFonts w:cs="Arial"/>
                      <w:iCs/>
                      <w:sz w:val="16"/>
                      <w:szCs w:val="16"/>
                    </w:rPr>
                    <w:t xml:space="preserve"> </w:t>
                  </w: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 xml:space="preserve">sus estudios durante el tránsito de una generación escolar en el nivel educativo </w:t>
                  </w:r>
                  <w:r w:rsidRPr="006458D5">
                    <w:rPr>
                      <w:rFonts w:cs="Arial"/>
                      <w:iCs/>
                      <w:position w:val="-4"/>
                      <w:sz w:val="16"/>
                      <w:szCs w:val="16"/>
                    </w:rPr>
                    <w:object w:dxaOrig="360" w:dyaOrig="240" w14:anchorId="3A5246BF">
                      <v:shape id="_x0000_i1031" type="#_x0000_t75" style="width:18.75pt;height:12pt" o:ole="">
                        <v:imagedata r:id="rId10" o:title=""/>
                      </v:shape>
                      <o:OLEObject Type="Embed" ProgID="Equation.3" ShapeID="_x0000_i1031" DrawAspect="Content" ObjectID="_1623744251" r:id="rId18"/>
                    </w:object>
                  </w:r>
                  <w:r w:rsidRPr="006458D5">
                    <w:rPr>
                      <w:rFonts w:cs="Arial"/>
                      <w:i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E9AD015" w14:textId="77777777" w:rsidR="00BD5719" w:rsidRPr="006458D5" w:rsidRDefault="00BD5719" w:rsidP="0076459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BD5719" w:rsidRPr="006458D5" w14:paraId="24291342" w14:textId="77777777">
        <w:trPr>
          <w:trHeight w:val="1530"/>
        </w:trPr>
        <w:tc>
          <w:tcPr>
            <w:tcW w:w="8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98E5393" w14:textId="77777777" w:rsidR="00BD5719" w:rsidRPr="006458D5" w:rsidRDefault="00BD5719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BD5719" w:rsidRPr="006458D5" w14:paraId="33D2997B" w14:textId="77777777" w:rsidTr="00D4730A">
        <w:trPr>
          <w:trHeight w:val="935"/>
        </w:trPr>
        <w:tc>
          <w:tcPr>
            <w:tcW w:w="83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D4912F" w14:textId="77777777" w:rsidR="00BD5719" w:rsidRPr="006458D5" w:rsidRDefault="00BD5719" w:rsidP="00B11F01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BD5719" w:rsidRPr="006458D5" w14:paraId="21DC2810" w14:textId="77777777">
        <w:trPr>
          <w:trHeight w:val="1055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6E29E" w14:textId="77777777" w:rsidR="00BD5719" w:rsidRPr="006458D5" w:rsidRDefault="00BD5719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Interpretación</w:t>
            </w:r>
          </w:p>
          <w:p w14:paraId="6D40A68E" w14:textId="621B086F" w:rsidR="00BD5719" w:rsidRPr="006458D5" w:rsidRDefault="00BD5719" w:rsidP="00C62F38">
            <w:pPr>
              <w:jc w:val="both"/>
              <w:rPr>
                <w:sz w:val="16"/>
                <w:szCs w:val="16"/>
              </w:rPr>
            </w:pPr>
            <w:r w:rsidRPr="006458D5">
              <w:rPr>
                <w:sz w:val="16"/>
                <w:szCs w:val="16"/>
              </w:rPr>
              <w:t xml:space="preserve">La trayectoria ideal de una generación escolar </w:t>
            </w:r>
            <w:r w:rsidR="003E65D9" w:rsidRPr="006458D5">
              <w:rPr>
                <w:sz w:val="16"/>
                <w:szCs w:val="16"/>
              </w:rPr>
              <w:t>se refiere al avance ininterrumpido de los</w:t>
            </w:r>
            <w:r w:rsidR="00D232F6" w:rsidRPr="006458D5">
              <w:rPr>
                <w:sz w:val="16"/>
                <w:szCs w:val="16"/>
              </w:rPr>
              <w:t xml:space="preserve"> </w:t>
            </w:r>
            <w:r w:rsidR="003E65D9" w:rsidRPr="006458D5">
              <w:rPr>
                <w:sz w:val="16"/>
                <w:szCs w:val="16"/>
              </w:rPr>
              <w:t>alumnos en</w:t>
            </w:r>
            <w:r w:rsidRPr="006458D5">
              <w:rPr>
                <w:sz w:val="16"/>
                <w:szCs w:val="16"/>
              </w:rPr>
              <w:t xml:space="preserve"> el n</w:t>
            </w:r>
            <w:r w:rsidR="00A05EF1" w:rsidRPr="006458D5">
              <w:rPr>
                <w:sz w:val="16"/>
                <w:szCs w:val="16"/>
              </w:rPr>
              <w:t>ivel educativo en cuestión, es d</w:t>
            </w:r>
            <w:r w:rsidRPr="006458D5">
              <w:rPr>
                <w:sz w:val="16"/>
                <w:szCs w:val="16"/>
              </w:rPr>
              <w:t>ecir, aqu</w:t>
            </w:r>
            <w:r w:rsidR="006968F7" w:rsidRPr="006458D5">
              <w:rPr>
                <w:sz w:val="16"/>
                <w:szCs w:val="16"/>
              </w:rPr>
              <w:t>e</w:t>
            </w:r>
            <w:r w:rsidRPr="006458D5">
              <w:rPr>
                <w:sz w:val="16"/>
                <w:szCs w:val="16"/>
              </w:rPr>
              <w:t>lla en la que los alumnos no reprueban ningún grado y se matriculan en el siguiente ciclo escolar de manera inmediata. Es pertinente señalar que dicha trayectoria es considerada a partir del seguimiento de la generación escolar, sin embargo, la cohorte puede contener a alumnos repetidores de</w:t>
            </w:r>
            <w:r w:rsidR="002E2B07" w:rsidRPr="006458D5">
              <w:rPr>
                <w:sz w:val="16"/>
                <w:szCs w:val="16"/>
              </w:rPr>
              <w:t xml:space="preserve">l </w:t>
            </w:r>
            <w:r w:rsidR="00AF3943" w:rsidRPr="006458D5">
              <w:rPr>
                <w:sz w:val="16"/>
                <w:szCs w:val="16"/>
              </w:rPr>
              <w:t xml:space="preserve">primer </w:t>
            </w:r>
            <w:r w:rsidR="003E65D9" w:rsidRPr="006458D5">
              <w:rPr>
                <w:sz w:val="16"/>
                <w:szCs w:val="16"/>
              </w:rPr>
              <w:t>grado</w:t>
            </w:r>
            <w:r w:rsidRPr="006458D5">
              <w:rPr>
                <w:sz w:val="16"/>
                <w:szCs w:val="16"/>
              </w:rPr>
              <w:t xml:space="preserve"> del nivel en análisis.</w:t>
            </w:r>
          </w:p>
          <w:p w14:paraId="644289A6" w14:textId="1297329B" w:rsidR="00BD5719" w:rsidRPr="006458D5" w:rsidRDefault="00BD5719" w:rsidP="00C62F38">
            <w:pPr>
              <w:jc w:val="both"/>
              <w:rPr>
                <w:sz w:val="16"/>
                <w:szCs w:val="16"/>
              </w:rPr>
            </w:pPr>
            <w:r w:rsidRPr="006458D5">
              <w:rPr>
                <w:sz w:val="16"/>
                <w:szCs w:val="16"/>
              </w:rPr>
              <w:t>Ambos indicadores</w:t>
            </w:r>
            <w:r w:rsidRPr="006B7A8F">
              <w:rPr>
                <w:sz w:val="16"/>
                <w:szCs w:val="16"/>
              </w:rPr>
              <w:t xml:space="preserve">, </w:t>
            </w:r>
            <w:r w:rsidR="002E2B07" w:rsidRPr="006B7A8F">
              <w:rPr>
                <w:sz w:val="16"/>
                <w:szCs w:val="16"/>
              </w:rPr>
              <w:t>P</w:t>
            </w:r>
            <w:r w:rsidRPr="006B7A8F">
              <w:rPr>
                <w:sz w:val="16"/>
                <w:szCs w:val="16"/>
              </w:rPr>
              <w:t xml:space="preserve">orcentaje de abandono respecto a la generación escolar y </w:t>
            </w:r>
            <w:r w:rsidR="002E2B07" w:rsidRPr="006B7A8F">
              <w:rPr>
                <w:sz w:val="16"/>
                <w:szCs w:val="16"/>
              </w:rPr>
              <w:t xml:space="preserve">Porcentaje de abandono </w:t>
            </w:r>
            <w:r w:rsidRPr="006B7A8F">
              <w:rPr>
                <w:sz w:val="16"/>
                <w:szCs w:val="16"/>
              </w:rPr>
              <w:t>respecto al total de desertores,</w:t>
            </w:r>
            <w:r w:rsidRPr="006458D5">
              <w:rPr>
                <w:sz w:val="16"/>
                <w:szCs w:val="16"/>
              </w:rPr>
              <w:t xml:space="preserve"> </w:t>
            </w:r>
            <w:r w:rsidR="00711ED8" w:rsidRPr="006458D5">
              <w:rPr>
                <w:sz w:val="16"/>
                <w:szCs w:val="16"/>
              </w:rPr>
              <w:t xml:space="preserve">en </w:t>
            </w:r>
            <w:r w:rsidR="00DF7EB5" w:rsidRPr="006458D5">
              <w:rPr>
                <w:sz w:val="16"/>
                <w:szCs w:val="16"/>
              </w:rPr>
              <w:t>te</w:t>
            </w:r>
            <w:r w:rsidR="00711ED8" w:rsidRPr="006458D5">
              <w:rPr>
                <w:sz w:val="16"/>
                <w:szCs w:val="16"/>
              </w:rPr>
              <w:t>oría</w:t>
            </w:r>
            <w:r w:rsidR="00DF7EB5" w:rsidRPr="006458D5">
              <w:rPr>
                <w:sz w:val="16"/>
                <w:szCs w:val="16"/>
              </w:rPr>
              <w:t xml:space="preserve"> </w:t>
            </w:r>
            <w:r w:rsidRPr="006458D5">
              <w:rPr>
                <w:sz w:val="16"/>
                <w:szCs w:val="16"/>
              </w:rPr>
              <w:t xml:space="preserve">toman valores entre cero y </w:t>
            </w:r>
            <w:r w:rsidR="00AF3943" w:rsidRPr="006458D5">
              <w:rPr>
                <w:sz w:val="16"/>
                <w:szCs w:val="16"/>
              </w:rPr>
              <w:t>cien</w:t>
            </w:r>
            <w:r w:rsidRPr="006458D5">
              <w:rPr>
                <w:sz w:val="16"/>
                <w:szCs w:val="16"/>
              </w:rPr>
              <w:t xml:space="preserve">. En cuanto al primer indicador, valores cercanos a </w:t>
            </w:r>
            <w:r w:rsidR="00AF3943" w:rsidRPr="006458D5">
              <w:rPr>
                <w:sz w:val="16"/>
                <w:szCs w:val="16"/>
              </w:rPr>
              <w:t>cien</w:t>
            </w:r>
            <w:r w:rsidRPr="006458D5">
              <w:rPr>
                <w:sz w:val="16"/>
                <w:szCs w:val="16"/>
              </w:rPr>
              <w:t xml:space="preserve"> </w:t>
            </w:r>
            <w:r w:rsidR="002E2B07" w:rsidRPr="006458D5">
              <w:rPr>
                <w:sz w:val="16"/>
                <w:szCs w:val="16"/>
              </w:rPr>
              <w:t xml:space="preserve">señalan </w:t>
            </w:r>
            <w:r w:rsidRPr="006458D5">
              <w:rPr>
                <w:sz w:val="16"/>
                <w:szCs w:val="16"/>
              </w:rPr>
              <w:t>que una mayor cantidad de alumnos, respecto al total de la generación escolar, abandonan sus estudios mientras transitan</w:t>
            </w:r>
            <w:r w:rsidR="003D3286" w:rsidRPr="006458D5">
              <w:rPr>
                <w:sz w:val="16"/>
                <w:szCs w:val="16"/>
              </w:rPr>
              <w:t xml:space="preserve"> en los tiempos ideales</w:t>
            </w:r>
            <w:r w:rsidRPr="006458D5">
              <w:rPr>
                <w:sz w:val="16"/>
                <w:szCs w:val="16"/>
              </w:rPr>
              <w:t xml:space="preserve"> por el nivel educativo. En el segundo</w:t>
            </w:r>
            <w:r w:rsidR="00937214" w:rsidRPr="006458D5">
              <w:rPr>
                <w:sz w:val="16"/>
                <w:szCs w:val="16"/>
              </w:rPr>
              <w:t xml:space="preserve"> indicador</w:t>
            </w:r>
            <w:r w:rsidRPr="006458D5">
              <w:rPr>
                <w:sz w:val="16"/>
                <w:szCs w:val="16"/>
              </w:rPr>
              <w:t xml:space="preserve">, valores cercanos a </w:t>
            </w:r>
            <w:r w:rsidR="00AF3943" w:rsidRPr="006458D5">
              <w:rPr>
                <w:sz w:val="16"/>
                <w:szCs w:val="16"/>
              </w:rPr>
              <w:t xml:space="preserve">cien </w:t>
            </w:r>
            <w:r w:rsidR="002E2B07" w:rsidRPr="006458D5">
              <w:rPr>
                <w:sz w:val="16"/>
                <w:szCs w:val="16"/>
              </w:rPr>
              <w:t xml:space="preserve">muestran </w:t>
            </w:r>
            <w:r w:rsidRPr="006458D5">
              <w:rPr>
                <w:sz w:val="16"/>
                <w:szCs w:val="16"/>
              </w:rPr>
              <w:t xml:space="preserve">que la mayoría de </w:t>
            </w:r>
            <w:r w:rsidR="006968F7" w:rsidRPr="006458D5">
              <w:rPr>
                <w:sz w:val="16"/>
                <w:szCs w:val="16"/>
              </w:rPr>
              <w:t xml:space="preserve">los </w:t>
            </w:r>
            <w:r w:rsidRPr="006458D5">
              <w:rPr>
                <w:sz w:val="16"/>
                <w:szCs w:val="16"/>
              </w:rPr>
              <w:t xml:space="preserve">abandonos </w:t>
            </w:r>
            <w:r w:rsidR="002831AC">
              <w:rPr>
                <w:sz w:val="16"/>
                <w:szCs w:val="16"/>
              </w:rPr>
              <w:t>es</w:t>
            </w:r>
            <w:r w:rsidR="002831AC" w:rsidRPr="006458D5">
              <w:rPr>
                <w:sz w:val="16"/>
                <w:szCs w:val="16"/>
              </w:rPr>
              <w:t xml:space="preserve"> </w:t>
            </w:r>
            <w:r w:rsidRPr="006458D5">
              <w:rPr>
                <w:sz w:val="16"/>
                <w:szCs w:val="16"/>
              </w:rPr>
              <w:t>de alumnos en tránsito ideal. Por el contrario, si el indicador tiende a cero</w:t>
            </w:r>
            <w:r w:rsidR="002E2B07" w:rsidRPr="006458D5">
              <w:rPr>
                <w:sz w:val="16"/>
                <w:szCs w:val="16"/>
              </w:rPr>
              <w:t>,</w:t>
            </w:r>
            <w:r w:rsidRPr="006458D5">
              <w:rPr>
                <w:sz w:val="16"/>
                <w:szCs w:val="16"/>
              </w:rPr>
              <w:t xml:space="preserve"> significa que la deserción ocurre más entre aquellos alumnos que han reprobado al menos un grado escolar desde el seguimiento de la generación.</w:t>
            </w:r>
          </w:p>
          <w:p w14:paraId="67A78D14" w14:textId="77777777" w:rsidR="00BD5719" w:rsidRPr="006458D5" w:rsidRDefault="00BD5719" w:rsidP="00C62F38">
            <w:pPr>
              <w:jc w:val="both"/>
              <w:rPr>
                <w:sz w:val="16"/>
                <w:szCs w:val="16"/>
              </w:rPr>
            </w:pPr>
            <w:r w:rsidRPr="006458D5">
              <w:rPr>
                <w:sz w:val="16"/>
                <w:szCs w:val="16"/>
              </w:rPr>
              <w:t>A medida que la generación matriculada incluya una proporción mayor de alumnos de otras cohortes escolares o traslados de otras entidades, el indicador tiende a subestimar la deserción e incluso a presentar valores negativos.</w:t>
            </w:r>
          </w:p>
        </w:tc>
      </w:tr>
      <w:tr w:rsidR="00BD5719" w:rsidRPr="006458D5" w14:paraId="64377989" w14:textId="77777777">
        <w:trPr>
          <w:trHeight w:val="651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15F9A197" w14:textId="77777777" w:rsidR="00BD5719" w:rsidRPr="006458D5" w:rsidRDefault="00BD5719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Utilidad</w:t>
            </w:r>
          </w:p>
          <w:p w14:paraId="24B8E50A" w14:textId="03D695BB" w:rsidR="00BD5719" w:rsidRPr="006458D5" w:rsidRDefault="00BD5719" w:rsidP="002E2B07">
            <w:pPr>
              <w:jc w:val="both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 xml:space="preserve">El indicador permite estimar la deserción de los alumnos que avanzan ininterrumpidamente </w:t>
            </w:r>
            <w:r w:rsidR="002E2B07" w:rsidRPr="006458D5">
              <w:rPr>
                <w:rFonts w:cs="Arial"/>
                <w:sz w:val="16"/>
                <w:szCs w:val="16"/>
              </w:rPr>
              <w:t xml:space="preserve">en </w:t>
            </w:r>
            <w:r w:rsidRPr="006458D5">
              <w:rPr>
                <w:rFonts w:cs="Arial"/>
                <w:sz w:val="16"/>
                <w:szCs w:val="16"/>
              </w:rPr>
              <w:t xml:space="preserve">el nivel educativo de referencia durante el seguimiento de la cohorte escolar. Si bien la reprobación se reconoce como un factor de riesgo para la deserción escolar, este indicador da a conocer que la deserción entre los alumnos que transitan </w:t>
            </w:r>
            <w:r w:rsidR="003D3286" w:rsidRPr="006458D5">
              <w:rPr>
                <w:rFonts w:cs="Arial"/>
                <w:sz w:val="16"/>
                <w:szCs w:val="16"/>
              </w:rPr>
              <w:t>en los tiempos ideales</w:t>
            </w:r>
            <w:r w:rsidRPr="006458D5">
              <w:rPr>
                <w:rFonts w:cs="Arial"/>
                <w:sz w:val="16"/>
                <w:szCs w:val="16"/>
              </w:rPr>
              <w:t xml:space="preserve"> es significativa</w:t>
            </w:r>
            <w:r w:rsidR="002E2B07" w:rsidRPr="006458D5">
              <w:rPr>
                <w:rFonts w:cs="Arial"/>
                <w:sz w:val="16"/>
                <w:szCs w:val="16"/>
              </w:rPr>
              <w:t xml:space="preserve"> </w:t>
            </w:r>
            <w:r w:rsidRPr="006458D5">
              <w:rPr>
                <w:rFonts w:cs="Arial"/>
                <w:sz w:val="16"/>
                <w:szCs w:val="16"/>
              </w:rPr>
              <w:t>y</w:t>
            </w:r>
            <w:r w:rsidR="002E2B07" w:rsidRPr="006458D5">
              <w:rPr>
                <w:rFonts w:cs="Arial"/>
                <w:sz w:val="16"/>
                <w:szCs w:val="16"/>
              </w:rPr>
              <w:t>,</w:t>
            </w:r>
            <w:r w:rsidR="00E87B97" w:rsidRPr="006458D5">
              <w:rPr>
                <w:rFonts w:cs="Arial"/>
                <w:sz w:val="16"/>
                <w:szCs w:val="16"/>
              </w:rPr>
              <w:t xml:space="preserve"> por lo tanto, debería</w:t>
            </w:r>
            <w:r w:rsidRPr="006458D5">
              <w:rPr>
                <w:rFonts w:cs="Arial"/>
                <w:sz w:val="16"/>
                <w:szCs w:val="16"/>
              </w:rPr>
              <w:t xml:space="preserve"> ser considerada para efectos de decisiones de política educativa.</w:t>
            </w:r>
          </w:p>
        </w:tc>
      </w:tr>
      <w:tr w:rsidR="00BD5719" w:rsidRPr="006458D5" w14:paraId="13CDAA24" w14:textId="77777777" w:rsidTr="00D4730A">
        <w:trPr>
          <w:trHeight w:val="284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3F3E72DB" w14:textId="3C939E6F" w:rsidR="00BD5719" w:rsidRPr="006458D5" w:rsidRDefault="00BD5719" w:rsidP="00B11F01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 xml:space="preserve">Ofrece elementos para evaluar las siguientes dimensiones de </w:t>
            </w:r>
            <w:r w:rsidR="00937214" w:rsidRPr="006458D5">
              <w:rPr>
                <w:rFonts w:cs="Arial"/>
                <w:b/>
                <w:sz w:val="16"/>
                <w:szCs w:val="16"/>
              </w:rPr>
              <w:t xml:space="preserve">la </w:t>
            </w:r>
            <w:r w:rsidRPr="006458D5">
              <w:rPr>
                <w:rFonts w:cs="Arial"/>
                <w:b/>
                <w:sz w:val="16"/>
                <w:szCs w:val="16"/>
              </w:rPr>
              <w:t>calidad educativa</w:t>
            </w:r>
          </w:p>
          <w:p w14:paraId="59C91F96" w14:textId="58FC7742" w:rsidR="00BD5719" w:rsidRPr="006458D5" w:rsidRDefault="00BD5719" w:rsidP="00137E16">
            <w:pPr>
              <w:spacing w:after="120"/>
              <w:jc w:val="both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Eficacia interna y eficiencia</w:t>
            </w:r>
          </w:p>
        </w:tc>
      </w:tr>
      <w:tr w:rsidR="00BD5719" w:rsidRPr="006458D5" w14:paraId="694F2C45" w14:textId="77777777">
        <w:trPr>
          <w:trHeight w:val="1217"/>
        </w:trPr>
        <w:tc>
          <w:tcPr>
            <w:tcW w:w="8350" w:type="dxa"/>
            <w:tcBorders>
              <w:top w:val="single" w:sz="4" w:space="0" w:color="auto"/>
              <w:bottom w:val="single" w:sz="4" w:space="0" w:color="auto"/>
            </w:tcBorders>
          </w:tcPr>
          <w:p w14:paraId="5404E917" w14:textId="77777777" w:rsidR="00BD5719" w:rsidRPr="006458D5" w:rsidRDefault="00BD5719" w:rsidP="00B11F01">
            <w:pPr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Desagregación</w:t>
            </w:r>
          </w:p>
          <w:p w14:paraId="5B6EF22B" w14:textId="77777777" w:rsidR="00BD5719" w:rsidRPr="006458D5" w:rsidRDefault="00BD5719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sz w:val="16"/>
                <w:szCs w:val="16"/>
              </w:rPr>
              <w:t>Entidad federativa, nivel educativo</w:t>
            </w:r>
            <w:r w:rsidR="00B86C68" w:rsidRPr="006458D5">
              <w:rPr>
                <w:rFonts w:cs="Arial"/>
                <w:sz w:val="16"/>
                <w:szCs w:val="16"/>
              </w:rPr>
              <w:t>,</w:t>
            </w:r>
            <w:r w:rsidRPr="006458D5">
              <w:rPr>
                <w:rFonts w:cs="Arial"/>
                <w:sz w:val="16"/>
                <w:szCs w:val="16"/>
              </w:rPr>
              <w:t xml:space="preserve"> sexo</w:t>
            </w:r>
            <w:r w:rsidR="00B86C68" w:rsidRPr="006458D5">
              <w:rPr>
                <w:rFonts w:cs="Arial"/>
                <w:sz w:val="16"/>
                <w:szCs w:val="16"/>
              </w:rPr>
              <w:t xml:space="preserve"> y tipo </w:t>
            </w:r>
            <w:r w:rsidR="0052722D" w:rsidRPr="006458D5">
              <w:rPr>
                <w:rFonts w:cs="Arial"/>
                <w:sz w:val="16"/>
                <w:szCs w:val="16"/>
              </w:rPr>
              <w:t>de servicio</w:t>
            </w:r>
            <w:r w:rsidRPr="006458D5">
              <w:rPr>
                <w:rFonts w:cs="Arial"/>
                <w:sz w:val="16"/>
                <w:szCs w:val="16"/>
              </w:rPr>
              <w:t>.</w:t>
            </w:r>
          </w:p>
          <w:p w14:paraId="4A4D3B28" w14:textId="77777777" w:rsidR="001C2FD8" w:rsidRPr="006458D5" w:rsidRDefault="001C2FD8" w:rsidP="00B11F01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</w:p>
          <w:p w14:paraId="1ADD1437" w14:textId="40C5FAAA" w:rsidR="001C2FD8" w:rsidRPr="006458D5" w:rsidRDefault="001C2FD8" w:rsidP="001C2FD8">
            <w:pPr>
              <w:ind w:right="-70"/>
              <w:jc w:val="both"/>
              <w:rPr>
                <w:rFonts w:cs="Arial"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Máximo n</w:t>
            </w:r>
            <w:r w:rsidR="00711ED8" w:rsidRPr="006458D5">
              <w:rPr>
                <w:rFonts w:cs="Arial"/>
                <w:b/>
                <w:sz w:val="16"/>
                <w:szCs w:val="16"/>
              </w:rPr>
              <w:t>ivel de desagregación</w:t>
            </w:r>
            <w:r w:rsidR="006B7A8F" w:rsidRPr="006B7A8F">
              <w:rPr>
                <w:rFonts w:cs="Arial"/>
                <w:sz w:val="16"/>
                <w:szCs w:val="16"/>
              </w:rPr>
              <w:t>: e</w:t>
            </w:r>
            <w:r w:rsidR="00465FF2" w:rsidRPr="006458D5">
              <w:rPr>
                <w:rFonts w:cs="Arial"/>
                <w:sz w:val="16"/>
                <w:szCs w:val="16"/>
              </w:rPr>
              <w:t>ntidad</w:t>
            </w:r>
            <w:r w:rsidR="006B7A8F">
              <w:rPr>
                <w:rFonts w:cs="Arial"/>
                <w:sz w:val="16"/>
                <w:szCs w:val="16"/>
              </w:rPr>
              <w:t xml:space="preserve"> federativa</w:t>
            </w:r>
          </w:p>
          <w:p w14:paraId="2E5D4651" w14:textId="77777777" w:rsidR="00BD5719" w:rsidRPr="006458D5" w:rsidRDefault="00BD5719" w:rsidP="00B11F01">
            <w:pPr>
              <w:spacing w:before="120" w:after="60"/>
              <w:ind w:right="108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Fuente de información</w:t>
            </w:r>
          </w:p>
          <w:p w14:paraId="2B8D8514" w14:textId="5D8E104A" w:rsidR="00C558B8" w:rsidRDefault="00C558B8" w:rsidP="00C558B8">
            <w:pPr>
              <w:ind w:right="110"/>
              <w:jc w:val="both"/>
              <w:rPr>
                <w:rFonts w:cs="Arial"/>
                <w:sz w:val="16"/>
                <w:szCs w:val="16"/>
              </w:rPr>
            </w:pPr>
            <w:r w:rsidRPr="008B3E99">
              <w:rPr>
                <w:sz w:val="16"/>
                <w:szCs w:val="16"/>
              </w:rPr>
              <w:t>SEP-</w:t>
            </w:r>
            <w:proofErr w:type="spellStart"/>
            <w:r w:rsidRPr="00DE4DB5">
              <w:rPr>
                <w:sz w:val="16"/>
                <w:szCs w:val="16"/>
              </w:rPr>
              <w:t>DGPPyEE</w:t>
            </w:r>
            <w:proofErr w:type="spellEnd"/>
            <w:r w:rsidRPr="00DE4DB5">
              <w:rPr>
                <w:sz w:val="16"/>
                <w:szCs w:val="16"/>
              </w:rPr>
              <w:t xml:space="preserve"> (</w:t>
            </w:r>
            <w:r w:rsidR="002C2AC6" w:rsidRPr="00DE4DB5">
              <w:rPr>
                <w:sz w:val="16"/>
                <w:szCs w:val="16"/>
              </w:rPr>
              <w:t>2007</w:t>
            </w:r>
            <w:r w:rsidR="00DE4DB5" w:rsidRPr="00DE4DB5">
              <w:rPr>
                <w:sz w:val="16"/>
                <w:szCs w:val="16"/>
              </w:rPr>
              <w:t>-</w:t>
            </w:r>
            <w:r w:rsidRPr="00DE4DB5">
              <w:rPr>
                <w:sz w:val="16"/>
                <w:szCs w:val="16"/>
              </w:rPr>
              <w:t>201</w:t>
            </w:r>
            <w:r w:rsidR="007171C4" w:rsidRPr="00DE4DB5">
              <w:rPr>
                <w:sz w:val="16"/>
                <w:szCs w:val="16"/>
              </w:rPr>
              <w:t>8</w:t>
            </w:r>
            <w:r w:rsidRPr="00DE4DB5">
              <w:rPr>
                <w:sz w:val="16"/>
                <w:szCs w:val="16"/>
              </w:rPr>
              <w:t>).</w:t>
            </w:r>
            <w:r w:rsidRPr="00DE4DB5">
              <w:rPr>
                <w:i/>
                <w:iCs/>
                <w:sz w:val="16"/>
                <w:szCs w:val="16"/>
              </w:rPr>
              <w:t xml:space="preserve"> </w:t>
            </w:r>
            <w:r w:rsidR="006B7A8F" w:rsidRPr="00DE4DB5">
              <w:rPr>
                <w:iCs/>
                <w:sz w:val="16"/>
                <w:szCs w:val="16"/>
              </w:rPr>
              <w:t>Estadísticas Continuas del F</w:t>
            </w:r>
            <w:r w:rsidRPr="00DE4DB5">
              <w:rPr>
                <w:iCs/>
                <w:sz w:val="16"/>
                <w:szCs w:val="16"/>
              </w:rPr>
              <w:t>ormato 911</w:t>
            </w:r>
            <w:r w:rsidRPr="00DE4DB5">
              <w:rPr>
                <w:sz w:val="16"/>
                <w:szCs w:val="16"/>
              </w:rPr>
              <w:t xml:space="preserve"> (</w:t>
            </w:r>
            <w:r w:rsidRPr="00DE4DB5">
              <w:rPr>
                <w:rFonts w:cs="Arial"/>
                <w:sz w:val="16"/>
                <w:szCs w:val="16"/>
              </w:rPr>
              <w:t xml:space="preserve">inicio y fin de los ciclos escolares </w:t>
            </w:r>
            <w:r w:rsidR="00391A81" w:rsidRPr="00DE4DB5">
              <w:rPr>
                <w:rFonts w:cs="Arial"/>
                <w:sz w:val="16"/>
                <w:szCs w:val="16"/>
              </w:rPr>
              <w:t>2006</w:t>
            </w:r>
            <w:r w:rsidRPr="00DE4DB5">
              <w:rPr>
                <w:rFonts w:cs="Arial"/>
                <w:sz w:val="16"/>
                <w:szCs w:val="16"/>
              </w:rPr>
              <w:t>-200</w:t>
            </w:r>
            <w:r w:rsidR="00391A81" w:rsidRPr="00DE4DB5">
              <w:rPr>
                <w:rFonts w:cs="Arial"/>
                <w:sz w:val="16"/>
                <w:szCs w:val="16"/>
              </w:rPr>
              <w:t>7</w:t>
            </w:r>
            <w:r w:rsidRPr="00DE4DB5">
              <w:rPr>
                <w:rFonts w:cs="Arial"/>
                <w:sz w:val="16"/>
                <w:szCs w:val="16"/>
              </w:rPr>
              <w:t xml:space="preserve"> </w:t>
            </w:r>
            <w:r w:rsidR="000B4B32" w:rsidRPr="00DE4DB5">
              <w:rPr>
                <w:rFonts w:cs="Arial"/>
                <w:sz w:val="16"/>
                <w:szCs w:val="16"/>
              </w:rPr>
              <w:t>a 2015-2016, inicio del ciclo escolar 2016-2017 y ciclo escolar</w:t>
            </w:r>
            <w:r w:rsidR="000B4B32" w:rsidRPr="000B4B32">
              <w:rPr>
                <w:rFonts w:cs="Arial"/>
                <w:sz w:val="16"/>
                <w:szCs w:val="16"/>
              </w:rPr>
              <w:t xml:space="preserve"> 2017-2018</w:t>
            </w:r>
            <w:r w:rsidRPr="008B3E99">
              <w:rPr>
                <w:rFonts w:cs="Arial"/>
                <w:sz w:val="16"/>
                <w:szCs w:val="16"/>
              </w:rPr>
              <w:t>).</w:t>
            </w:r>
          </w:p>
          <w:p w14:paraId="24A8F823" w14:textId="77777777" w:rsidR="00BD5719" w:rsidRPr="006458D5" w:rsidRDefault="00BD5719" w:rsidP="00E04B88">
            <w:pPr>
              <w:pStyle w:val="Encabezado"/>
              <w:tabs>
                <w:tab w:val="left" w:pos="4500"/>
                <w:tab w:val="left" w:pos="4680"/>
              </w:tabs>
              <w:ind w:right="113"/>
              <w:jc w:val="both"/>
              <w:rPr>
                <w:rFonts w:cs="Arial"/>
                <w:sz w:val="16"/>
                <w:szCs w:val="16"/>
              </w:rPr>
            </w:pPr>
          </w:p>
          <w:p w14:paraId="01442C83" w14:textId="77777777" w:rsidR="00BD5719" w:rsidRPr="006458D5" w:rsidRDefault="00BD5719" w:rsidP="00E04B88">
            <w:pPr>
              <w:pStyle w:val="Encabezado"/>
              <w:tabs>
                <w:tab w:val="left" w:pos="4500"/>
                <w:tab w:val="left" w:pos="4680"/>
              </w:tabs>
              <w:ind w:right="113"/>
              <w:jc w:val="both"/>
              <w:rPr>
                <w:rFonts w:cs="Arial"/>
                <w:b/>
                <w:sz w:val="16"/>
                <w:szCs w:val="16"/>
              </w:rPr>
            </w:pPr>
            <w:r w:rsidRPr="006458D5">
              <w:rPr>
                <w:rFonts w:cs="Arial"/>
                <w:b/>
                <w:sz w:val="16"/>
                <w:szCs w:val="16"/>
              </w:rPr>
              <w:t>Nota</w:t>
            </w:r>
          </w:p>
          <w:p w14:paraId="579DCFD7" w14:textId="1A914AD1" w:rsidR="00BD5719" w:rsidRPr="006458D5" w:rsidRDefault="00B710EF" w:rsidP="00937214">
            <w:pPr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vertAlign w:val="superscript"/>
              </w:rPr>
              <w:t>1</w:t>
            </w:r>
            <w:r w:rsidR="004566BB">
              <w:rPr>
                <w:rFonts w:cs="Arial"/>
                <w:sz w:val="12"/>
                <w:szCs w:val="12"/>
              </w:rPr>
              <w:t xml:space="preserve"> </w:t>
            </w:r>
            <w:r w:rsidR="00CC1DF2" w:rsidRPr="006458D5">
              <w:rPr>
                <w:rFonts w:cs="Arial"/>
                <w:sz w:val="12"/>
                <w:szCs w:val="12"/>
              </w:rPr>
              <w:t xml:space="preserve">Se refiere a la trayectoria escolar trazada por los alumnos de la generación escolar bajo seguimiento que se promueven ininterrumpidamente desde que inician </w:t>
            </w:r>
            <w:r w:rsidR="00937214" w:rsidRPr="006458D5">
              <w:rPr>
                <w:rFonts w:cs="Arial"/>
                <w:sz w:val="12"/>
                <w:szCs w:val="12"/>
              </w:rPr>
              <w:t xml:space="preserve">el primer </w:t>
            </w:r>
            <w:r w:rsidR="00CC1DF2" w:rsidRPr="006458D5">
              <w:rPr>
                <w:rFonts w:cs="Arial"/>
                <w:sz w:val="12"/>
                <w:szCs w:val="12"/>
              </w:rPr>
              <w:t xml:space="preserve">grado hasta que concluyen el nivel educativo de referencia. Cabe señalar que la generación escolar bajo seguimiento se integra por alumnos de nuevo ingreso y repetidores del </w:t>
            </w:r>
            <w:r w:rsidR="00937214" w:rsidRPr="006458D5">
              <w:rPr>
                <w:rFonts w:cs="Arial"/>
                <w:sz w:val="12"/>
                <w:szCs w:val="12"/>
              </w:rPr>
              <w:t xml:space="preserve">primer </w:t>
            </w:r>
            <w:r w:rsidR="00CC1DF2" w:rsidRPr="006458D5">
              <w:rPr>
                <w:rFonts w:cs="Arial"/>
                <w:sz w:val="12"/>
                <w:szCs w:val="12"/>
              </w:rPr>
              <w:t>grado escolar del nivel educativo en cuestión.</w:t>
            </w:r>
          </w:p>
          <w:p w14:paraId="2F6C503E" w14:textId="556D2811" w:rsidR="00E23684" w:rsidRPr="006458D5" w:rsidRDefault="00E23684" w:rsidP="00937214">
            <w:pPr>
              <w:jc w:val="both"/>
              <w:rPr>
                <w:rFonts w:cs="Arial"/>
                <w:sz w:val="12"/>
                <w:szCs w:val="12"/>
              </w:rPr>
            </w:pPr>
          </w:p>
        </w:tc>
      </w:tr>
    </w:tbl>
    <w:p w14:paraId="1D623EEE" w14:textId="77777777" w:rsidR="00BD5719" w:rsidRPr="00FA230B" w:rsidRDefault="002230E3">
      <w:r w:rsidRPr="006458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0DE04" wp14:editId="6201DDA6">
                <wp:simplePos x="0" y="0"/>
                <wp:positionH relativeFrom="column">
                  <wp:posOffset>520</wp:posOffset>
                </wp:positionH>
                <wp:positionV relativeFrom="paragraph">
                  <wp:posOffset>30348</wp:posOffset>
                </wp:positionV>
                <wp:extent cx="5257800" cy="1211283"/>
                <wp:effectExtent l="0" t="0" r="19050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112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C59E58" w14:textId="77777777" w:rsidR="00BD5719" w:rsidRDefault="00BD5719" w:rsidP="00E04B88">
                            <w:pPr>
                              <w:spacing w:before="120" w:after="60"/>
                              <w:ind w:right="108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29E0"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 xml:space="preserve">Referente de evaluación </w:t>
                            </w:r>
                          </w:p>
                          <w:p w14:paraId="3558492F" w14:textId="77777777" w:rsidR="00BD5719" w:rsidRDefault="00BD5719" w:rsidP="00E04B88">
                            <w:pPr>
                              <w:spacing w:before="120" w:after="60"/>
                              <w:ind w:right="108"/>
                              <w:jc w:val="both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La deserción en forma temporal o permanente </w:t>
                            </w:r>
                            <w:r w:rsidR="0004644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en </w:t>
                            </w:r>
                            <w:r w:rsidR="002E2B07">
                              <w:rPr>
                                <w:rFonts w:cs="Arial"/>
                                <w:sz w:val="16"/>
                                <w:szCs w:val="16"/>
                              </w:rPr>
                              <w:t>el sistema educativo</w:t>
                            </w:r>
                            <w:r w:rsidR="009B0FD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imposibilita que la totalidad de la generación escolar termine sus estudios en los tiempos previstos, por lo cual, </w:t>
                            </w:r>
                            <w:r w:rsidRPr="007D679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="00386CF6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valor del indicador </w:t>
                            </w:r>
                            <w:r w:rsidR="002E2B07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debería </w:t>
                            </w:r>
                            <w:r w:rsidR="00386CF6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ser </w:t>
                            </w:r>
                            <w:r w:rsidRPr="007D679F">
                              <w:rPr>
                                <w:rFonts w:cs="Arial"/>
                                <w:sz w:val="16"/>
                                <w:szCs w:val="16"/>
                              </w:rPr>
                              <w:t>0%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7D679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F9FF3CB" w14:textId="098E73E7" w:rsidR="00C558B8" w:rsidRPr="000F2F1E" w:rsidRDefault="00C558B8" w:rsidP="00C558B8">
                            <w:pPr>
                              <w:ind w:right="-7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Ver artículos 3° 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y 31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de la</w:t>
                            </w:r>
                            <w:r w:rsidR="00DB0302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B7A8F">
                              <w:rPr>
                                <w:rFonts w:cs="Arial"/>
                                <w:sz w:val="12"/>
                                <w:szCs w:val="12"/>
                              </w:rPr>
                              <w:t>CPEUM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2C2AC6">
                              <w:rPr>
                                <w:rFonts w:cs="Arial"/>
                                <w:sz w:val="12"/>
                                <w:szCs w:val="12"/>
                              </w:rPr>
                              <w:t>2018, 27 de agosto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>)</w:t>
                            </w:r>
                            <w:r w:rsidR="006B7A8F">
                              <w:rPr>
                                <w:rFonts w:cs="Arial"/>
                                <w:sz w:val="12"/>
                                <w:szCs w:val="12"/>
                              </w:rPr>
                              <w:t>,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y artículos 2°, 3°, 4°, 32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,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33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y 66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de la</w:t>
                            </w:r>
                            <w:r w:rsidR="006B7A8F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LGE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2C2AC6">
                              <w:rPr>
                                <w:rFonts w:cs="Arial"/>
                                <w:sz w:val="12"/>
                                <w:szCs w:val="12"/>
                              </w:rPr>
                              <w:t>2018, 19 de enero</w:t>
                            </w:r>
                            <w:r w:rsidRPr="0056620B">
                              <w:rPr>
                                <w:rFonts w:cs="Arial"/>
                                <w:sz w:val="12"/>
                                <w:szCs w:val="12"/>
                              </w:rPr>
                              <w:t>).</w:t>
                            </w:r>
                            <w:r w:rsidRPr="000F2F1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FC5C8B" w14:textId="32AD5B9A" w:rsidR="00BD5719" w:rsidRPr="008A6F70" w:rsidRDefault="00BD5719" w:rsidP="00C558B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0DE04" id="AutoShape 3" o:spid="_x0000_s1027" style="position:absolute;margin-left:.05pt;margin-top:2.4pt;width:414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">
                <v:textbox>
                  <w:txbxContent>
                    <w:p w14:paraId="21C59E58" w14:textId="77777777" w:rsidR="00BD5719" w:rsidRDefault="00BD5719" w:rsidP="00E04B88">
                      <w:pPr>
                        <w:spacing w:before="120" w:after="60"/>
                        <w:ind w:right="108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 w:rsidRPr="009229E0">
                        <w:rPr>
                          <w:rFonts w:cs="Arial"/>
                          <w:b/>
                          <w:sz w:val="16"/>
                          <w:szCs w:val="16"/>
                        </w:rPr>
                        <w:t xml:space="preserve">Referente de evaluación </w:t>
                      </w:r>
                    </w:p>
                    <w:p w14:paraId="3558492F" w14:textId="77777777" w:rsidR="00BD5719" w:rsidRDefault="00BD5719" w:rsidP="00E04B88">
                      <w:pPr>
                        <w:spacing w:before="120" w:after="60"/>
                        <w:ind w:right="108"/>
                        <w:jc w:val="both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La deserción en forma temporal o permanente </w:t>
                      </w:r>
                      <w:r w:rsidR="00046445">
                        <w:rPr>
                          <w:rFonts w:cs="Arial"/>
                          <w:sz w:val="16"/>
                          <w:szCs w:val="16"/>
                        </w:rPr>
                        <w:t xml:space="preserve">en </w:t>
                      </w:r>
                      <w:r w:rsidR="002E2B07">
                        <w:rPr>
                          <w:rFonts w:cs="Arial"/>
                          <w:sz w:val="16"/>
                          <w:szCs w:val="16"/>
                        </w:rPr>
                        <w:t>el sistema educativo</w:t>
                      </w:r>
                      <w:r w:rsidR="009B0FD3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imposibilita que la totalidad de la generación escolar termine sus estudios en los tiempos previstos, por lo cual, </w:t>
                      </w:r>
                      <w:r w:rsidRPr="007D679F">
                        <w:rPr>
                          <w:rFonts w:cs="Arial"/>
                          <w:sz w:val="16"/>
                          <w:szCs w:val="16"/>
                        </w:rPr>
                        <w:t xml:space="preserve">el </w:t>
                      </w:r>
                      <w:r w:rsidR="00386CF6">
                        <w:rPr>
                          <w:rFonts w:cs="Arial"/>
                          <w:sz w:val="16"/>
                          <w:szCs w:val="16"/>
                        </w:rPr>
                        <w:t xml:space="preserve">valor del indicador </w:t>
                      </w:r>
                      <w:r w:rsidR="002E2B07">
                        <w:rPr>
                          <w:rFonts w:cs="Arial"/>
                          <w:sz w:val="16"/>
                          <w:szCs w:val="16"/>
                        </w:rPr>
                        <w:t xml:space="preserve">debería </w:t>
                      </w:r>
                      <w:r w:rsidR="00386CF6">
                        <w:rPr>
                          <w:rFonts w:cs="Arial"/>
                          <w:sz w:val="16"/>
                          <w:szCs w:val="16"/>
                        </w:rPr>
                        <w:t xml:space="preserve">ser </w:t>
                      </w:r>
                      <w:r w:rsidRPr="007D679F">
                        <w:rPr>
                          <w:rFonts w:cs="Arial"/>
                          <w:sz w:val="16"/>
                          <w:szCs w:val="16"/>
                        </w:rPr>
                        <w:t>0%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r w:rsidRPr="007D679F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F9FF3CB" w14:textId="098E73E7" w:rsidR="00C558B8" w:rsidRPr="000F2F1E" w:rsidRDefault="00C558B8" w:rsidP="00C558B8">
                      <w:pPr>
                        <w:ind w:right="-75"/>
                        <w:jc w:val="both"/>
                        <w:rPr>
                          <w:sz w:val="16"/>
                          <w:szCs w:val="16"/>
                        </w:rPr>
                      </w:pP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Ver artículos 3° 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y 31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de la</w:t>
                      </w:r>
                      <w:r w:rsidR="00DB0302">
                        <w:rPr>
                          <w:rFonts w:cs="Arial"/>
                          <w:sz w:val="12"/>
                          <w:szCs w:val="12"/>
                        </w:rPr>
                        <w:t xml:space="preserve"> </w:t>
                      </w:r>
                      <w:r w:rsidR="006B7A8F">
                        <w:rPr>
                          <w:rFonts w:cs="Arial"/>
                          <w:sz w:val="12"/>
                          <w:szCs w:val="12"/>
                        </w:rPr>
                        <w:t>CPEUM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(</w:t>
                      </w:r>
                      <w:r w:rsidR="002C2AC6">
                        <w:rPr>
                          <w:rFonts w:cs="Arial"/>
                          <w:sz w:val="12"/>
                          <w:szCs w:val="12"/>
                        </w:rPr>
                        <w:t>2018, 27 de agosto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>)</w:t>
                      </w:r>
                      <w:r w:rsidR="006B7A8F">
                        <w:rPr>
                          <w:rFonts w:cs="Arial"/>
                          <w:sz w:val="12"/>
                          <w:szCs w:val="12"/>
                        </w:rPr>
                        <w:t>,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y artículos 2°, 3°, 4°, 32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,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33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 xml:space="preserve"> y 66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de la</w:t>
                      </w:r>
                      <w:r w:rsidR="006B7A8F">
                        <w:rPr>
                          <w:rFonts w:cs="Arial"/>
                          <w:sz w:val="12"/>
                          <w:szCs w:val="12"/>
                        </w:rPr>
                        <w:t xml:space="preserve"> LGE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 xml:space="preserve"> (</w:t>
                      </w:r>
                      <w:r w:rsidR="002C2AC6">
                        <w:rPr>
                          <w:rFonts w:cs="Arial"/>
                          <w:sz w:val="12"/>
                          <w:szCs w:val="12"/>
                        </w:rPr>
                        <w:t>2018, 19 de enero</w:t>
                      </w:r>
                      <w:r w:rsidRPr="0056620B">
                        <w:rPr>
                          <w:rFonts w:cs="Arial"/>
                          <w:sz w:val="12"/>
                          <w:szCs w:val="12"/>
                        </w:rPr>
                        <w:t>).</w:t>
                      </w:r>
                      <w:r w:rsidRPr="000F2F1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FC5C8B" w14:textId="32AD5B9A" w:rsidR="00BD5719" w:rsidRPr="008A6F70" w:rsidRDefault="00BD5719" w:rsidP="00C558B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14E2D0" w14:textId="77777777" w:rsidR="00BD5719" w:rsidRPr="00FA230B" w:rsidRDefault="00BD5719"/>
    <w:p w14:paraId="054E21CE" w14:textId="77777777" w:rsidR="00BD5719" w:rsidRPr="00FA230B" w:rsidRDefault="00BD5719"/>
    <w:p w14:paraId="21737FF4" w14:textId="77777777" w:rsidR="00BD5719" w:rsidRPr="00FA230B" w:rsidRDefault="00BD5719"/>
    <w:p w14:paraId="67007C3E" w14:textId="77777777" w:rsidR="00BD5719" w:rsidRPr="00FA230B" w:rsidRDefault="00BD5719"/>
    <w:p w14:paraId="18AB571A" w14:textId="77777777" w:rsidR="00BD5719" w:rsidRPr="00FA230B" w:rsidRDefault="00BD5719"/>
    <w:sectPr w:rsidR="00BD5719" w:rsidRPr="00FA230B" w:rsidSect="0079481F">
      <w:pgSz w:w="12240" w:h="15840" w:code="1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36F1"/>
    <w:multiLevelType w:val="hybridMultilevel"/>
    <w:tmpl w:val="11485C02"/>
    <w:lvl w:ilvl="0" w:tplc="0A8C0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E9"/>
    <w:rsid w:val="000002C3"/>
    <w:rsid w:val="000004A8"/>
    <w:rsid w:val="000117E2"/>
    <w:rsid w:val="000136DC"/>
    <w:rsid w:val="0004377E"/>
    <w:rsid w:val="00046445"/>
    <w:rsid w:val="00051891"/>
    <w:rsid w:val="0006011B"/>
    <w:rsid w:val="00062B27"/>
    <w:rsid w:val="00074DE6"/>
    <w:rsid w:val="0008476A"/>
    <w:rsid w:val="00085238"/>
    <w:rsid w:val="00097D73"/>
    <w:rsid w:val="000B42A4"/>
    <w:rsid w:val="000B4B32"/>
    <w:rsid w:val="000B6789"/>
    <w:rsid w:val="000C14CD"/>
    <w:rsid w:val="000C4E81"/>
    <w:rsid w:val="000E223E"/>
    <w:rsid w:val="0010236D"/>
    <w:rsid w:val="00111B4A"/>
    <w:rsid w:val="0011278C"/>
    <w:rsid w:val="00113027"/>
    <w:rsid w:val="00115F02"/>
    <w:rsid w:val="00120582"/>
    <w:rsid w:val="00137E16"/>
    <w:rsid w:val="00141179"/>
    <w:rsid w:val="00162365"/>
    <w:rsid w:val="0017019D"/>
    <w:rsid w:val="00172402"/>
    <w:rsid w:val="0017435B"/>
    <w:rsid w:val="0018140F"/>
    <w:rsid w:val="001A1BF2"/>
    <w:rsid w:val="001A64CF"/>
    <w:rsid w:val="001B506A"/>
    <w:rsid w:val="001C03EE"/>
    <w:rsid w:val="001C1C16"/>
    <w:rsid w:val="001C2FD8"/>
    <w:rsid w:val="001C3041"/>
    <w:rsid w:val="001C7273"/>
    <w:rsid w:val="001E6015"/>
    <w:rsid w:val="00201CD0"/>
    <w:rsid w:val="00204E80"/>
    <w:rsid w:val="00206C88"/>
    <w:rsid w:val="002230E3"/>
    <w:rsid w:val="0022467B"/>
    <w:rsid w:val="0023120B"/>
    <w:rsid w:val="00240777"/>
    <w:rsid w:val="00250CD8"/>
    <w:rsid w:val="0026312F"/>
    <w:rsid w:val="00265650"/>
    <w:rsid w:val="00266FAF"/>
    <w:rsid w:val="002719C5"/>
    <w:rsid w:val="00273A03"/>
    <w:rsid w:val="002831AC"/>
    <w:rsid w:val="00285E02"/>
    <w:rsid w:val="00292529"/>
    <w:rsid w:val="002A0842"/>
    <w:rsid w:val="002A502E"/>
    <w:rsid w:val="002A6A6D"/>
    <w:rsid w:val="002A7130"/>
    <w:rsid w:val="002C2AC6"/>
    <w:rsid w:val="002C3678"/>
    <w:rsid w:val="002D3E85"/>
    <w:rsid w:val="002E05E7"/>
    <w:rsid w:val="002E2B07"/>
    <w:rsid w:val="002F0125"/>
    <w:rsid w:val="002F69BC"/>
    <w:rsid w:val="00302C29"/>
    <w:rsid w:val="00312C5D"/>
    <w:rsid w:val="00326B8B"/>
    <w:rsid w:val="003326E9"/>
    <w:rsid w:val="00336007"/>
    <w:rsid w:val="00340AC7"/>
    <w:rsid w:val="00342882"/>
    <w:rsid w:val="0034756E"/>
    <w:rsid w:val="003614C2"/>
    <w:rsid w:val="00364595"/>
    <w:rsid w:val="003661B7"/>
    <w:rsid w:val="00366F04"/>
    <w:rsid w:val="003751A2"/>
    <w:rsid w:val="003822BB"/>
    <w:rsid w:val="00383E19"/>
    <w:rsid w:val="00386CF6"/>
    <w:rsid w:val="00391471"/>
    <w:rsid w:val="00391A81"/>
    <w:rsid w:val="00394D8B"/>
    <w:rsid w:val="003B5A84"/>
    <w:rsid w:val="003B7ABE"/>
    <w:rsid w:val="003C1051"/>
    <w:rsid w:val="003C3AFC"/>
    <w:rsid w:val="003D18BB"/>
    <w:rsid w:val="003D3286"/>
    <w:rsid w:val="003D6FAA"/>
    <w:rsid w:val="003E1B9F"/>
    <w:rsid w:val="003E20FD"/>
    <w:rsid w:val="003E65D9"/>
    <w:rsid w:val="00402CAF"/>
    <w:rsid w:val="00436103"/>
    <w:rsid w:val="0044129C"/>
    <w:rsid w:val="004549DE"/>
    <w:rsid w:val="004566BB"/>
    <w:rsid w:val="00465FF2"/>
    <w:rsid w:val="00466367"/>
    <w:rsid w:val="00472EC9"/>
    <w:rsid w:val="00484816"/>
    <w:rsid w:val="004864D7"/>
    <w:rsid w:val="00486E35"/>
    <w:rsid w:val="00487F01"/>
    <w:rsid w:val="004966ED"/>
    <w:rsid w:val="004A4B18"/>
    <w:rsid w:val="004B4AF9"/>
    <w:rsid w:val="004B7633"/>
    <w:rsid w:val="004C0AB2"/>
    <w:rsid w:val="004C2784"/>
    <w:rsid w:val="004C2FF9"/>
    <w:rsid w:val="004E1583"/>
    <w:rsid w:val="00510A0B"/>
    <w:rsid w:val="00521F10"/>
    <w:rsid w:val="00522DDB"/>
    <w:rsid w:val="00523E4D"/>
    <w:rsid w:val="0052722D"/>
    <w:rsid w:val="005353F8"/>
    <w:rsid w:val="00536D49"/>
    <w:rsid w:val="005376A3"/>
    <w:rsid w:val="005463CE"/>
    <w:rsid w:val="005509AB"/>
    <w:rsid w:val="00566400"/>
    <w:rsid w:val="00571B94"/>
    <w:rsid w:val="00576E5C"/>
    <w:rsid w:val="00577F3C"/>
    <w:rsid w:val="0058653B"/>
    <w:rsid w:val="005A7EFF"/>
    <w:rsid w:val="005C2D1A"/>
    <w:rsid w:val="005C3665"/>
    <w:rsid w:val="005D3B67"/>
    <w:rsid w:val="005D63C6"/>
    <w:rsid w:val="005E1F19"/>
    <w:rsid w:val="00603CA1"/>
    <w:rsid w:val="006100D7"/>
    <w:rsid w:val="00610267"/>
    <w:rsid w:val="00622423"/>
    <w:rsid w:val="006249AE"/>
    <w:rsid w:val="0063069C"/>
    <w:rsid w:val="00636050"/>
    <w:rsid w:val="00636EAD"/>
    <w:rsid w:val="0064397D"/>
    <w:rsid w:val="006458D5"/>
    <w:rsid w:val="00650BE0"/>
    <w:rsid w:val="00661322"/>
    <w:rsid w:val="00665CFA"/>
    <w:rsid w:val="00675446"/>
    <w:rsid w:val="0067553A"/>
    <w:rsid w:val="00694678"/>
    <w:rsid w:val="006968F7"/>
    <w:rsid w:val="006B1D51"/>
    <w:rsid w:val="006B489D"/>
    <w:rsid w:val="006B5512"/>
    <w:rsid w:val="006B7A8F"/>
    <w:rsid w:val="006D09EC"/>
    <w:rsid w:val="006D4242"/>
    <w:rsid w:val="006D7DDD"/>
    <w:rsid w:val="006E3ACD"/>
    <w:rsid w:val="006E4519"/>
    <w:rsid w:val="00702735"/>
    <w:rsid w:val="00711ED8"/>
    <w:rsid w:val="007147C0"/>
    <w:rsid w:val="007171C4"/>
    <w:rsid w:val="007312E1"/>
    <w:rsid w:val="007347E0"/>
    <w:rsid w:val="00734EF9"/>
    <w:rsid w:val="00745BA0"/>
    <w:rsid w:val="00745F3A"/>
    <w:rsid w:val="0075096F"/>
    <w:rsid w:val="00756314"/>
    <w:rsid w:val="007608AD"/>
    <w:rsid w:val="00764594"/>
    <w:rsid w:val="00764FE5"/>
    <w:rsid w:val="00773F2D"/>
    <w:rsid w:val="0078783F"/>
    <w:rsid w:val="007936E6"/>
    <w:rsid w:val="0079481F"/>
    <w:rsid w:val="00796B46"/>
    <w:rsid w:val="007A21FC"/>
    <w:rsid w:val="007B0B2C"/>
    <w:rsid w:val="007B5E84"/>
    <w:rsid w:val="007B73FC"/>
    <w:rsid w:val="007B75BA"/>
    <w:rsid w:val="007B7EE3"/>
    <w:rsid w:val="007D679F"/>
    <w:rsid w:val="007E364D"/>
    <w:rsid w:val="007E3B95"/>
    <w:rsid w:val="007E539A"/>
    <w:rsid w:val="007F0CC8"/>
    <w:rsid w:val="007F0F72"/>
    <w:rsid w:val="007F20FD"/>
    <w:rsid w:val="0080720F"/>
    <w:rsid w:val="00813960"/>
    <w:rsid w:val="0081397D"/>
    <w:rsid w:val="00815420"/>
    <w:rsid w:val="008155DD"/>
    <w:rsid w:val="00826365"/>
    <w:rsid w:val="00831B15"/>
    <w:rsid w:val="008342F7"/>
    <w:rsid w:val="0083702D"/>
    <w:rsid w:val="008402F4"/>
    <w:rsid w:val="00847B27"/>
    <w:rsid w:val="00847E2D"/>
    <w:rsid w:val="008612F8"/>
    <w:rsid w:val="00864AAB"/>
    <w:rsid w:val="008810B6"/>
    <w:rsid w:val="008927B6"/>
    <w:rsid w:val="008A50DE"/>
    <w:rsid w:val="008A6F70"/>
    <w:rsid w:val="008B27D4"/>
    <w:rsid w:val="008B5E80"/>
    <w:rsid w:val="008B644C"/>
    <w:rsid w:val="008C75CE"/>
    <w:rsid w:val="008D2A7D"/>
    <w:rsid w:val="008D4079"/>
    <w:rsid w:val="008E5FD9"/>
    <w:rsid w:val="008E6D9A"/>
    <w:rsid w:val="009014E9"/>
    <w:rsid w:val="00904DFA"/>
    <w:rsid w:val="00921993"/>
    <w:rsid w:val="009229E0"/>
    <w:rsid w:val="00935DA3"/>
    <w:rsid w:val="00937214"/>
    <w:rsid w:val="0093795A"/>
    <w:rsid w:val="0097775D"/>
    <w:rsid w:val="00984FEE"/>
    <w:rsid w:val="009960BB"/>
    <w:rsid w:val="009A5FD2"/>
    <w:rsid w:val="009B0FD3"/>
    <w:rsid w:val="009B596B"/>
    <w:rsid w:val="009C621A"/>
    <w:rsid w:val="009D4AC0"/>
    <w:rsid w:val="009D583C"/>
    <w:rsid w:val="009E3CCE"/>
    <w:rsid w:val="009F2F36"/>
    <w:rsid w:val="009F4EFB"/>
    <w:rsid w:val="009F622A"/>
    <w:rsid w:val="00A05EF1"/>
    <w:rsid w:val="00A06B9A"/>
    <w:rsid w:val="00A23079"/>
    <w:rsid w:val="00A30BCD"/>
    <w:rsid w:val="00A52E0A"/>
    <w:rsid w:val="00A570C7"/>
    <w:rsid w:val="00A67381"/>
    <w:rsid w:val="00A7097E"/>
    <w:rsid w:val="00A709C5"/>
    <w:rsid w:val="00A70BE1"/>
    <w:rsid w:val="00A71FAE"/>
    <w:rsid w:val="00A80CB1"/>
    <w:rsid w:val="00A83DE1"/>
    <w:rsid w:val="00A86006"/>
    <w:rsid w:val="00A93704"/>
    <w:rsid w:val="00A9560D"/>
    <w:rsid w:val="00AA1C30"/>
    <w:rsid w:val="00AA2EB9"/>
    <w:rsid w:val="00AA56DF"/>
    <w:rsid w:val="00AA5D28"/>
    <w:rsid w:val="00AB31E9"/>
    <w:rsid w:val="00AF3943"/>
    <w:rsid w:val="00B031EA"/>
    <w:rsid w:val="00B0564A"/>
    <w:rsid w:val="00B05788"/>
    <w:rsid w:val="00B11F01"/>
    <w:rsid w:val="00B14234"/>
    <w:rsid w:val="00B142E6"/>
    <w:rsid w:val="00B17D40"/>
    <w:rsid w:val="00B246B1"/>
    <w:rsid w:val="00B42769"/>
    <w:rsid w:val="00B62727"/>
    <w:rsid w:val="00B65837"/>
    <w:rsid w:val="00B67F1A"/>
    <w:rsid w:val="00B710EF"/>
    <w:rsid w:val="00B73B8B"/>
    <w:rsid w:val="00B75AA2"/>
    <w:rsid w:val="00B83353"/>
    <w:rsid w:val="00B868A4"/>
    <w:rsid w:val="00B86BE5"/>
    <w:rsid w:val="00B86C68"/>
    <w:rsid w:val="00BA643A"/>
    <w:rsid w:val="00BB2108"/>
    <w:rsid w:val="00BB27C7"/>
    <w:rsid w:val="00BC15D7"/>
    <w:rsid w:val="00BD1244"/>
    <w:rsid w:val="00BD5719"/>
    <w:rsid w:val="00BE75A8"/>
    <w:rsid w:val="00BF7C00"/>
    <w:rsid w:val="00C02404"/>
    <w:rsid w:val="00C03F5C"/>
    <w:rsid w:val="00C0768E"/>
    <w:rsid w:val="00C12145"/>
    <w:rsid w:val="00C179AB"/>
    <w:rsid w:val="00C351E2"/>
    <w:rsid w:val="00C355A7"/>
    <w:rsid w:val="00C37609"/>
    <w:rsid w:val="00C53FA8"/>
    <w:rsid w:val="00C558B8"/>
    <w:rsid w:val="00C62F38"/>
    <w:rsid w:val="00C85CA5"/>
    <w:rsid w:val="00C90B78"/>
    <w:rsid w:val="00C939A1"/>
    <w:rsid w:val="00C96384"/>
    <w:rsid w:val="00CA00D5"/>
    <w:rsid w:val="00CB69A0"/>
    <w:rsid w:val="00CB6C48"/>
    <w:rsid w:val="00CC1DF2"/>
    <w:rsid w:val="00CC6039"/>
    <w:rsid w:val="00CD1401"/>
    <w:rsid w:val="00CD4ADA"/>
    <w:rsid w:val="00CE4AC6"/>
    <w:rsid w:val="00CE5F16"/>
    <w:rsid w:val="00CF304F"/>
    <w:rsid w:val="00CF3D0E"/>
    <w:rsid w:val="00D10293"/>
    <w:rsid w:val="00D108F4"/>
    <w:rsid w:val="00D14CA2"/>
    <w:rsid w:val="00D17BF6"/>
    <w:rsid w:val="00D232F6"/>
    <w:rsid w:val="00D26EDB"/>
    <w:rsid w:val="00D3515A"/>
    <w:rsid w:val="00D4730A"/>
    <w:rsid w:val="00D55DEB"/>
    <w:rsid w:val="00D61C12"/>
    <w:rsid w:val="00D634A1"/>
    <w:rsid w:val="00D65AC0"/>
    <w:rsid w:val="00D76663"/>
    <w:rsid w:val="00D804F7"/>
    <w:rsid w:val="00D864DA"/>
    <w:rsid w:val="00D920C7"/>
    <w:rsid w:val="00D96BA1"/>
    <w:rsid w:val="00DB0302"/>
    <w:rsid w:val="00DB2C58"/>
    <w:rsid w:val="00DB2D39"/>
    <w:rsid w:val="00DB7E05"/>
    <w:rsid w:val="00DE4DB5"/>
    <w:rsid w:val="00DE52DA"/>
    <w:rsid w:val="00DF276B"/>
    <w:rsid w:val="00DF2C6F"/>
    <w:rsid w:val="00DF7EB5"/>
    <w:rsid w:val="00E00D84"/>
    <w:rsid w:val="00E04B88"/>
    <w:rsid w:val="00E1633A"/>
    <w:rsid w:val="00E17473"/>
    <w:rsid w:val="00E20F74"/>
    <w:rsid w:val="00E21C0E"/>
    <w:rsid w:val="00E23684"/>
    <w:rsid w:val="00E34AC4"/>
    <w:rsid w:val="00E4161C"/>
    <w:rsid w:val="00E4499D"/>
    <w:rsid w:val="00E506E6"/>
    <w:rsid w:val="00E52E0C"/>
    <w:rsid w:val="00E56578"/>
    <w:rsid w:val="00E614A0"/>
    <w:rsid w:val="00E710FF"/>
    <w:rsid w:val="00E723C2"/>
    <w:rsid w:val="00E76F35"/>
    <w:rsid w:val="00E87B97"/>
    <w:rsid w:val="00E87C6B"/>
    <w:rsid w:val="00ED2D12"/>
    <w:rsid w:val="00ED44AE"/>
    <w:rsid w:val="00EE61B9"/>
    <w:rsid w:val="00EF21B5"/>
    <w:rsid w:val="00F034EB"/>
    <w:rsid w:val="00F14989"/>
    <w:rsid w:val="00F2095F"/>
    <w:rsid w:val="00F2346C"/>
    <w:rsid w:val="00F308C4"/>
    <w:rsid w:val="00F31A60"/>
    <w:rsid w:val="00F3252E"/>
    <w:rsid w:val="00F3526F"/>
    <w:rsid w:val="00F35D45"/>
    <w:rsid w:val="00F35E17"/>
    <w:rsid w:val="00F41AF2"/>
    <w:rsid w:val="00F42FD9"/>
    <w:rsid w:val="00F67F02"/>
    <w:rsid w:val="00F71BA9"/>
    <w:rsid w:val="00F75784"/>
    <w:rsid w:val="00F83C84"/>
    <w:rsid w:val="00FA230B"/>
    <w:rsid w:val="00FA575F"/>
    <w:rsid w:val="00FA6740"/>
    <w:rsid w:val="00FB60C4"/>
    <w:rsid w:val="00FC2CBD"/>
    <w:rsid w:val="00FD19CE"/>
    <w:rsid w:val="00FE7F2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F314E"/>
  <w15:docId w15:val="{0F8AEA01-9346-4E36-BCEB-5953BE9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E9"/>
    <w:rPr>
      <w:rFonts w:ascii="Arial" w:hAnsi="Arial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AB31E9"/>
    <w:pPr>
      <w:keepNext/>
      <w:ind w:left="180" w:right="110"/>
      <w:outlineLvl w:val="2"/>
    </w:pPr>
    <w:rPr>
      <w:rFonts w:ascii="Univers Condensed" w:hAnsi="Univers Condensed" w:cs="Arial"/>
      <w:b/>
      <w:bC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9"/>
    <w:semiHidden/>
    <w:locked/>
    <w:rsid w:val="00864AAB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B31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sid w:val="00864AAB"/>
    <w:rPr>
      <w:rFonts w:ascii="Arial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AB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73F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AAB"/>
    <w:rPr>
      <w:rFonts w:cs="Times New Roman"/>
      <w:sz w:val="2"/>
      <w:lang w:val="es-ES" w:eastAsia="es-ES"/>
    </w:rPr>
  </w:style>
  <w:style w:type="character" w:styleId="Refdecomentario">
    <w:name w:val="annotation reference"/>
    <w:uiPriority w:val="99"/>
    <w:semiHidden/>
    <w:rsid w:val="00773F2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73F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AAB"/>
    <w:rPr>
      <w:rFonts w:ascii="Arial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73F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AAB"/>
    <w:rPr>
      <w:rFonts w:ascii="Arial" w:hAnsi="Arial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B317-B983-4FBE-8AAE-D9BD570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INEE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evr</dc:creator>
  <cp:lastModifiedBy>Revisor1</cp:lastModifiedBy>
  <cp:revision>29</cp:revision>
  <cp:lastPrinted>2012-02-20T21:43:00Z</cp:lastPrinted>
  <dcterms:created xsi:type="dcterms:W3CDTF">2016-04-13T23:35:00Z</dcterms:created>
  <dcterms:modified xsi:type="dcterms:W3CDTF">2019-07-04T16:18:00Z</dcterms:modified>
</cp:coreProperties>
</file>